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1587C" w14:textId="3D665D47" w:rsidR="001D5093" w:rsidRPr="00341756" w:rsidRDefault="001D5093" w:rsidP="00523EE6">
      <w:pPr>
        <w:tabs>
          <w:tab w:val="center" w:pos="4680"/>
          <w:tab w:val="left" w:pos="8625"/>
        </w:tabs>
        <w:rPr>
          <w:rFonts w:asciiTheme="majorBidi" w:hAnsiTheme="majorBidi" w:cstheme="majorBidi"/>
          <w:sz w:val="24"/>
          <w:szCs w:val="24"/>
        </w:rPr>
      </w:pPr>
      <w:r w:rsidRPr="00341756">
        <w:rPr>
          <w:rFonts w:asciiTheme="majorBidi" w:hAnsiTheme="majorBidi" w:cstheme="majorBidi"/>
          <w:sz w:val="24"/>
          <w:szCs w:val="24"/>
        </w:rPr>
        <w:tab/>
      </w:r>
    </w:p>
    <w:p w14:paraId="4DD28B23" w14:textId="77777777" w:rsidR="00DD17EF" w:rsidRPr="00341756" w:rsidRDefault="00DD17EF" w:rsidP="007D21BB">
      <w:pPr>
        <w:jc w:val="both"/>
        <w:rPr>
          <w:rFonts w:asciiTheme="majorBidi" w:hAnsiTheme="majorBidi" w:cstheme="majorBidi"/>
          <w:b/>
          <w:bCs/>
          <w:sz w:val="24"/>
          <w:szCs w:val="24"/>
        </w:rPr>
      </w:pPr>
      <w:r w:rsidRPr="00341756">
        <w:rPr>
          <w:rFonts w:asciiTheme="majorBidi" w:hAnsiTheme="majorBidi" w:cstheme="majorBidi"/>
          <w:b/>
          <w:bCs/>
          <w:sz w:val="24"/>
          <w:szCs w:val="24"/>
        </w:rPr>
        <w:t>1. Introduction</w:t>
      </w:r>
    </w:p>
    <w:p w14:paraId="605292D5" w14:textId="186BE3D7" w:rsidR="00DD17EF" w:rsidRPr="00341756" w:rsidRDefault="00607A3B" w:rsidP="00947D48">
      <w:pPr>
        <w:jc w:val="both"/>
        <w:rPr>
          <w:rFonts w:asciiTheme="majorBidi" w:hAnsiTheme="majorBidi" w:cstheme="majorBidi"/>
          <w:sz w:val="24"/>
          <w:szCs w:val="24"/>
        </w:rPr>
      </w:pPr>
      <w:r>
        <w:rPr>
          <w:rFonts w:asciiTheme="majorBidi" w:hAnsiTheme="majorBidi" w:cstheme="majorBidi"/>
          <w:sz w:val="24"/>
          <w:szCs w:val="24"/>
        </w:rPr>
        <w:t>Integrated</w:t>
      </w:r>
      <w:r w:rsidRPr="00341756">
        <w:rPr>
          <w:rFonts w:asciiTheme="majorBidi" w:hAnsiTheme="majorBidi" w:cstheme="majorBidi"/>
          <w:sz w:val="24"/>
          <w:szCs w:val="24"/>
        </w:rPr>
        <w:t xml:space="preserve"> </w:t>
      </w:r>
      <w:r w:rsidR="00DD17EF" w:rsidRPr="00341756">
        <w:rPr>
          <w:rFonts w:asciiTheme="majorBidi" w:hAnsiTheme="majorBidi" w:cstheme="majorBidi"/>
          <w:sz w:val="24"/>
          <w:szCs w:val="24"/>
        </w:rPr>
        <w:t>auditing is an evaluation process of a company's financial statements which ends with an opinion on the company's financial statements (</w:t>
      </w:r>
      <w:hyperlink w:anchor="w1" w:history="1">
        <w:r w:rsidR="00DD17EF" w:rsidRPr="00341756">
          <w:rPr>
            <w:rStyle w:val="Hyperlink"/>
            <w:rFonts w:asciiTheme="majorBidi" w:hAnsiTheme="majorBidi" w:cstheme="majorBidi"/>
            <w:sz w:val="24"/>
            <w:szCs w:val="24"/>
          </w:rPr>
          <w:t>PCAOB, 2010</w:t>
        </w:r>
      </w:hyperlink>
      <w:r w:rsidR="00DD17EF" w:rsidRPr="00341756">
        <w:rPr>
          <w:rFonts w:asciiTheme="majorBidi" w:hAnsiTheme="majorBidi" w:cstheme="majorBidi"/>
          <w:sz w:val="24"/>
          <w:szCs w:val="24"/>
        </w:rPr>
        <w:t>). The independent auditor's opinion is an external mechanism of corporate governance. It evaluates and confirms the honesty of prepared financial statements (</w:t>
      </w:r>
      <w:hyperlink w:anchor="w2" w:history="1">
        <w:r w:rsidR="00DD17EF" w:rsidRPr="00341756">
          <w:rPr>
            <w:rStyle w:val="Hyperlink"/>
            <w:rFonts w:asciiTheme="majorBidi" w:hAnsiTheme="majorBidi" w:cstheme="majorBidi"/>
            <w:sz w:val="24"/>
            <w:szCs w:val="24"/>
          </w:rPr>
          <w:t>Cohen et al., 2011</w:t>
        </w:r>
      </w:hyperlink>
      <w:r w:rsidR="00DD17EF" w:rsidRPr="00341756">
        <w:rPr>
          <w:rFonts w:asciiTheme="majorBidi" w:hAnsiTheme="majorBidi" w:cstheme="majorBidi"/>
          <w:sz w:val="24"/>
          <w:szCs w:val="24"/>
        </w:rPr>
        <w:t xml:space="preserve">), the effectiveness of internal control reduces the information asymmetry, and bridles the manager's incentive to avoid the tax. As a result, the auditor either approves the reports or submits a modified opinion. </w:t>
      </w:r>
    </w:p>
    <w:p w14:paraId="5AD7EE29" w14:textId="549CE145" w:rsidR="00DD17EF" w:rsidRPr="00341756" w:rsidRDefault="00F01322" w:rsidP="00CE25B4">
      <w:pPr>
        <w:jc w:val="both"/>
        <w:rPr>
          <w:rFonts w:asciiTheme="majorBidi" w:hAnsiTheme="majorBidi" w:cstheme="majorBidi"/>
          <w:sz w:val="24"/>
          <w:szCs w:val="24"/>
        </w:rPr>
      </w:pPr>
      <w:r>
        <w:rPr>
          <w:rFonts w:asciiTheme="majorBidi" w:hAnsiTheme="majorBidi" w:cstheme="majorBidi"/>
          <w:sz w:val="24"/>
          <w:szCs w:val="24"/>
        </w:rPr>
        <w:t>Each</w:t>
      </w:r>
      <w:r w:rsidRPr="00341756">
        <w:rPr>
          <w:rFonts w:asciiTheme="majorBidi" w:hAnsiTheme="majorBidi" w:cstheme="majorBidi"/>
          <w:sz w:val="24"/>
          <w:szCs w:val="24"/>
        </w:rPr>
        <w:t xml:space="preserve"> </w:t>
      </w:r>
      <w:r w:rsidR="00DD17EF" w:rsidRPr="00341756">
        <w:rPr>
          <w:rFonts w:asciiTheme="majorBidi" w:hAnsiTheme="majorBidi" w:cstheme="majorBidi"/>
          <w:sz w:val="24"/>
          <w:szCs w:val="24"/>
        </w:rPr>
        <w:t xml:space="preserve">manager has the opportunity to hold </w:t>
      </w:r>
      <w:r w:rsidR="0025478E">
        <w:rPr>
          <w:rFonts w:asciiTheme="majorBidi" w:hAnsiTheme="majorBidi" w:cstheme="majorBidi"/>
          <w:sz w:val="24"/>
          <w:szCs w:val="24"/>
        </w:rPr>
        <w:t xml:space="preserve">the </w:t>
      </w:r>
      <w:r w:rsidR="00DD17EF" w:rsidRPr="00341756">
        <w:rPr>
          <w:rFonts w:asciiTheme="majorBidi" w:hAnsiTheme="majorBidi" w:cstheme="majorBidi"/>
          <w:sz w:val="24"/>
          <w:szCs w:val="24"/>
        </w:rPr>
        <w:t>private information from the shareholders to achieve personal interest (</w:t>
      </w:r>
      <w:hyperlink w:anchor="w3" w:history="1">
        <w:r w:rsidR="008C53F0" w:rsidRPr="00832258">
          <w:rPr>
            <w:rStyle w:val="Hyperlink"/>
            <w:rFonts w:asciiTheme="majorBidi" w:hAnsiTheme="majorBidi" w:cstheme="majorBidi"/>
            <w:sz w:val="24"/>
            <w:szCs w:val="24"/>
          </w:rPr>
          <w:t>Ayers et al., 2009</w:t>
        </w:r>
      </w:hyperlink>
      <w:r w:rsidR="00DD17EF" w:rsidRPr="00341756">
        <w:rPr>
          <w:rFonts w:asciiTheme="majorBidi" w:hAnsiTheme="majorBidi" w:cstheme="majorBidi"/>
          <w:sz w:val="24"/>
          <w:szCs w:val="24"/>
        </w:rPr>
        <w:t>). The asymmetric information mentioned in the principle-agent theory signals the importance of the independent auditor's opinion for any company, as it leads to considerable warnings of uncertainty like probable bankruptcy. The lack of a well-timed reaction may lead to wrong decision</w:t>
      </w:r>
      <w:r w:rsidR="007516AF">
        <w:rPr>
          <w:rFonts w:asciiTheme="majorBidi" w:hAnsiTheme="majorBidi" w:cstheme="majorBidi"/>
          <w:sz w:val="24"/>
          <w:szCs w:val="24"/>
        </w:rPr>
        <w:t>-</w:t>
      </w:r>
      <w:r w:rsidR="00DD17EF" w:rsidRPr="00341756">
        <w:rPr>
          <w:rFonts w:asciiTheme="majorBidi" w:hAnsiTheme="majorBidi" w:cstheme="majorBidi"/>
          <w:sz w:val="24"/>
          <w:szCs w:val="24"/>
        </w:rPr>
        <w:t>making, which may harm the shareholders' interests (</w:t>
      </w:r>
      <w:proofErr w:type="spellStart"/>
      <w:r w:rsidR="008C53F0">
        <w:fldChar w:fldCharType="begin"/>
      </w:r>
      <w:r w:rsidR="008C53F0">
        <w:instrText xml:space="preserve"> HYPERLINK \l "w4" </w:instrText>
      </w:r>
      <w:r w:rsidR="008C53F0">
        <w:fldChar w:fldCharType="separate"/>
      </w:r>
      <w:r w:rsidR="00DD17EF" w:rsidRPr="00341756">
        <w:rPr>
          <w:rStyle w:val="Hyperlink"/>
          <w:rFonts w:asciiTheme="majorBidi" w:hAnsiTheme="majorBidi" w:cstheme="majorBidi"/>
          <w:sz w:val="24"/>
          <w:szCs w:val="24"/>
        </w:rPr>
        <w:t>Cullinan</w:t>
      </w:r>
      <w:proofErr w:type="spellEnd"/>
      <w:r w:rsidR="00DD17EF" w:rsidRPr="00341756">
        <w:rPr>
          <w:rStyle w:val="Hyperlink"/>
          <w:rFonts w:asciiTheme="majorBidi" w:hAnsiTheme="majorBidi" w:cstheme="majorBidi"/>
          <w:sz w:val="24"/>
          <w:szCs w:val="24"/>
        </w:rPr>
        <w:t xml:space="preserve">, </w:t>
      </w:r>
      <w:r w:rsidR="00700030" w:rsidRPr="00341756">
        <w:rPr>
          <w:rStyle w:val="Hyperlink"/>
          <w:rFonts w:asciiTheme="majorBidi" w:hAnsiTheme="majorBidi" w:cstheme="majorBidi"/>
          <w:sz w:val="24"/>
          <w:szCs w:val="24"/>
        </w:rPr>
        <w:t>et al.</w:t>
      </w:r>
      <w:r w:rsidR="00DD17EF" w:rsidRPr="00341756">
        <w:rPr>
          <w:rStyle w:val="Hyperlink"/>
          <w:rFonts w:asciiTheme="majorBidi" w:hAnsiTheme="majorBidi" w:cstheme="majorBidi"/>
          <w:sz w:val="24"/>
          <w:szCs w:val="24"/>
        </w:rPr>
        <w:t>, 2013</w:t>
      </w:r>
      <w:r w:rsidR="008C53F0">
        <w:rPr>
          <w:rStyle w:val="Hyperlink"/>
          <w:rFonts w:asciiTheme="majorBidi" w:hAnsiTheme="majorBidi" w:cstheme="majorBidi"/>
          <w:sz w:val="24"/>
          <w:szCs w:val="24"/>
        </w:rPr>
        <w:fldChar w:fldCharType="end"/>
      </w:r>
      <w:r w:rsidR="00DD17EF" w:rsidRPr="00341756">
        <w:rPr>
          <w:rFonts w:asciiTheme="majorBidi" w:hAnsiTheme="majorBidi" w:cstheme="majorBidi"/>
          <w:sz w:val="24"/>
          <w:szCs w:val="24"/>
        </w:rPr>
        <w:t xml:space="preserve">; </w:t>
      </w:r>
      <w:hyperlink w:anchor="w3" w:history="1">
        <w:r w:rsidR="00832258" w:rsidRPr="00832258">
          <w:rPr>
            <w:rStyle w:val="Hyperlink"/>
            <w:rFonts w:asciiTheme="majorBidi" w:hAnsiTheme="majorBidi" w:cstheme="majorBidi"/>
            <w:sz w:val="24"/>
            <w:szCs w:val="24"/>
          </w:rPr>
          <w:t>Ayers et al., 2009</w:t>
        </w:r>
      </w:hyperlink>
      <w:r w:rsidR="00DD17EF" w:rsidRPr="00341756">
        <w:rPr>
          <w:rFonts w:asciiTheme="majorBidi" w:hAnsiTheme="majorBidi" w:cstheme="majorBidi"/>
          <w:sz w:val="24"/>
          <w:szCs w:val="24"/>
        </w:rPr>
        <w:t xml:space="preserve">). Such an opinion would eliminate the moral hazards </w:t>
      </w:r>
      <w:r w:rsidR="00CE25B4">
        <w:rPr>
          <w:rFonts w:asciiTheme="majorBidi" w:hAnsiTheme="majorBidi" w:cstheme="majorBidi"/>
          <w:sz w:val="24"/>
          <w:szCs w:val="24"/>
        </w:rPr>
        <w:t>which</w:t>
      </w:r>
      <w:r w:rsidR="00CE25B4" w:rsidRPr="00341756">
        <w:rPr>
          <w:rFonts w:asciiTheme="majorBidi" w:hAnsiTheme="majorBidi" w:cstheme="majorBidi"/>
          <w:sz w:val="24"/>
          <w:szCs w:val="24"/>
        </w:rPr>
        <w:t xml:space="preserve"> </w:t>
      </w:r>
      <w:r w:rsidR="00DD17EF" w:rsidRPr="00341756">
        <w:rPr>
          <w:rFonts w:asciiTheme="majorBidi" w:hAnsiTheme="majorBidi" w:cstheme="majorBidi"/>
          <w:sz w:val="24"/>
          <w:szCs w:val="24"/>
        </w:rPr>
        <w:t>come from the conflict of interest between the management (agent) and the shareholders (principal) (</w:t>
      </w:r>
      <w:hyperlink w:anchor="w5" w:history="1">
        <w:r w:rsidR="00DD17EF" w:rsidRPr="00341756">
          <w:rPr>
            <w:rStyle w:val="Hyperlink"/>
            <w:rFonts w:asciiTheme="majorBidi" w:hAnsiTheme="majorBidi" w:cstheme="majorBidi"/>
            <w:sz w:val="24"/>
            <w:szCs w:val="24"/>
          </w:rPr>
          <w:t>Griffin</w:t>
        </w:r>
        <w:r w:rsidR="00700030" w:rsidRPr="00341756">
          <w:rPr>
            <w:rStyle w:val="Hyperlink"/>
            <w:rFonts w:asciiTheme="majorBidi" w:hAnsiTheme="majorBidi" w:cstheme="majorBidi"/>
            <w:sz w:val="24"/>
            <w:szCs w:val="24"/>
          </w:rPr>
          <w:t xml:space="preserve"> et al.</w:t>
        </w:r>
        <w:r w:rsidR="00DD17EF" w:rsidRPr="00341756">
          <w:rPr>
            <w:rStyle w:val="Hyperlink"/>
            <w:rFonts w:asciiTheme="majorBidi" w:hAnsiTheme="majorBidi" w:cstheme="majorBidi"/>
            <w:sz w:val="24"/>
            <w:szCs w:val="24"/>
          </w:rPr>
          <w:t>, 2013</w:t>
        </w:r>
      </w:hyperlink>
      <w:r w:rsidR="00DD17EF" w:rsidRPr="00341756">
        <w:rPr>
          <w:rFonts w:asciiTheme="majorBidi" w:hAnsiTheme="majorBidi" w:cstheme="majorBidi"/>
          <w:sz w:val="24"/>
          <w:szCs w:val="24"/>
        </w:rPr>
        <w:t xml:space="preserve">). </w:t>
      </w:r>
    </w:p>
    <w:p w14:paraId="28D8939B" w14:textId="40F0A551" w:rsidR="00DD17EF" w:rsidRPr="00341756" w:rsidRDefault="00DD17EF" w:rsidP="00B34E1E">
      <w:pPr>
        <w:jc w:val="both"/>
        <w:rPr>
          <w:rFonts w:asciiTheme="majorBidi" w:hAnsiTheme="majorBidi" w:cstheme="majorBidi"/>
          <w:sz w:val="24"/>
          <w:szCs w:val="24"/>
        </w:rPr>
      </w:pPr>
      <w:r w:rsidRPr="00341756">
        <w:rPr>
          <w:rFonts w:asciiTheme="majorBidi" w:hAnsiTheme="majorBidi" w:cstheme="majorBidi"/>
          <w:sz w:val="24"/>
          <w:szCs w:val="24"/>
        </w:rPr>
        <w:t xml:space="preserve">The unstable economic and political conditions create market uncertainty with less transparency and asymmetric information. The information gap between inside and outside users calls </w:t>
      </w:r>
      <w:r w:rsidR="005C4B00">
        <w:rPr>
          <w:rFonts w:asciiTheme="majorBidi" w:hAnsiTheme="majorBidi" w:cstheme="majorBidi"/>
          <w:sz w:val="24"/>
          <w:szCs w:val="24"/>
        </w:rPr>
        <w:t xml:space="preserve">the </w:t>
      </w:r>
      <w:r w:rsidRPr="00341756">
        <w:rPr>
          <w:rFonts w:asciiTheme="majorBidi" w:hAnsiTheme="majorBidi" w:cstheme="majorBidi"/>
          <w:sz w:val="24"/>
          <w:szCs w:val="24"/>
        </w:rPr>
        <w:t>investors (outside users) to rely heavily on the independent auditor's report (</w:t>
      </w:r>
      <w:hyperlink w:anchor="w6" w:history="1">
        <w:r w:rsidRPr="00341756">
          <w:rPr>
            <w:rStyle w:val="Hyperlink"/>
            <w:rFonts w:asciiTheme="majorBidi" w:hAnsiTheme="majorBidi" w:cstheme="majorBidi"/>
            <w:sz w:val="24"/>
            <w:szCs w:val="24"/>
          </w:rPr>
          <w:t>Choi, 2015</w:t>
        </w:r>
      </w:hyperlink>
      <w:r w:rsidRPr="00341756">
        <w:rPr>
          <w:rFonts w:asciiTheme="majorBidi" w:hAnsiTheme="majorBidi" w:cstheme="majorBidi"/>
          <w:sz w:val="24"/>
          <w:szCs w:val="24"/>
        </w:rPr>
        <w:t>) to get valid information for their decision</w:t>
      </w:r>
      <w:r w:rsidR="00B34E1E">
        <w:rPr>
          <w:rFonts w:asciiTheme="majorBidi" w:hAnsiTheme="majorBidi" w:cstheme="majorBidi"/>
          <w:sz w:val="24"/>
          <w:szCs w:val="24"/>
        </w:rPr>
        <w:t>-</w:t>
      </w:r>
      <w:r w:rsidRPr="00341756">
        <w:rPr>
          <w:rFonts w:asciiTheme="majorBidi" w:hAnsiTheme="majorBidi" w:cstheme="majorBidi"/>
          <w:sz w:val="24"/>
          <w:szCs w:val="24"/>
        </w:rPr>
        <w:t>making.</w:t>
      </w:r>
    </w:p>
    <w:p w14:paraId="17A36CB0" w14:textId="7114916E" w:rsidR="00DD17EF" w:rsidRPr="00341756" w:rsidRDefault="00DD17EF" w:rsidP="007C0E2E">
      <w:pPr>
        <w:jc w:val="both"/>
        <w:rPr>
          <w:rFonts w:asciiTheme="majorBidi" w:hAnsiTheme="majorBidi" w:cstheme="majorBidi"/>
          <w:sz w:val="24"/>
          <w:szCs w:val="24"/>
        </w:rPr>
      </w:pPr>
      <w:r w:rsidRPr="00341756">
        <w:rPr>
          <w:rFonts w:asciiTheme="majorBidi" w:hAnsiTheme="majorBidi" w:cstheme="majorBidi"/>
          <w:sz w:val="24"/>
          <w:szCs w:val="24"/>
        </w:rPr>
        <w:t xml:space="preserve">Tax avoidance is a hidden activity considered tax-saving </w:t>
      </w:r>
      <w:r w:rsidR="00456AD2">
        <w:rPr>
          <w:rFonts w:asciiTheme="majorBidi" w:hAnsiTheme="majorBidi" w:cstheme="majorBidi"/>
          <w:sz w:val="24"/>
          <w:szCs w:val="24"/>
        </w:rPr>
        <w:t>procedure</w:t>
      </w:r>
      <w:r w:rsidR="00456AD2" w:rsidRPr="00341756">
        <w:rPr>
          <w:rFonts w:asciiTheme="majorBidi" w:hAnsiTheme="majorBidi" w:cstheme="majorBidi"/>
          <w:sz w:val="24"/>
          <w:szCs w:val="24"/>
        </w:rPr>
        <w:t xml:space="preserve"> </w:t>
      </w:r>
      <w:r w:rsidRPr="00341756">
        <w:rPr>
          <w:rFonts w:asciiTheme="majorBidi" w:hAnsiTheme="majorBidi" w:cstheme="majorBidi"/>
          <w:sz w:val="24"/>
          <w:szCs w:val="24"/>
        </w:rPr>
        <w:t>(</w:t>
      </w:r>
      <w:hyperlink w:anchor="w7" w:history="1">
        <w:r w:rsidR="00700030" w:rsidRPr="00341756">
          <w:rPr>
            <w:rStyle w:val="Hyperlink"/>
            <w:rFonts w:asciiTheme="majorBidi" w:hAnsiTheme="majorBidi" w:cstheme="majorBidi"/>
            <w:sz w:val="24"/>
            <w:szCs w:val="24"/>
          </w:rPr>
          <w:t xml:space="preserve">Chen et al. </w:t>
        </w:r>
        <w:r w:rsidRPr="00341756">
          <w:rPr>
            <w:rStyle w:val="Hyperlink"/>
            <w:rFonts w:asciiTheme="majorBidi" w:hAnsiTheme="majorBidi" w:cstheme="majorBidi"/>
            <w:sz w:val="24"/>
            <w:szCs w:val="24"/>
          </w:rPr>
          <w:t>, 2014</w:t>
        </w:r>
      </w:hyperlink>
      <w:r w:rsidRPr="00341756">
        <w:rPr>
          <w:rFonts w:asciiTheme="majorBidi" w:hAnsiTheme="majorBidi" w:cstheme="majorBidi"/>
          <w:sz w:val="24"/>
          <w:szCs w:val="24"/>
        </w:rPr>
        <w:t xml:space="preserve">) which transfers the wealth resources from the government to the shareholders </w:t>
      </w:r>
      <w:hyperlink w:anchor="w8" w:history="1">
        <w:r w:rsidRPr="00341756">
          <w:rPr>
            <w:rStyle w:val="Hyperlink"/>
            <w:rFonts w:asciiTheme="majorBidi" w:hAnsiTheme="majorBidi" w:cstheme="majorBidi"/>
            <w:sz w:val="24"/>
            <w:szCs w:val="24"/>
          </w:rPr>
          <w:t xml:space="preserve">(Desai &amp; </w:t>
        </w:r>
        <w:proofErr w:type="spellStart"/>
        <w:r w:rsidRPr="00341756">
          <w:rPr>
            <w:rStyle w:val="Hyperlink"/>
            <w:rFonts w:asciiTheme="majorBidi" w:hAnsiTheme="majorBidi" w:cstheme="majorBidi"/>
            <w:sz w:val="24"/>
            <w:szCs w:val="24"/>
          </w:rPr>
          <w:t>Darmapala</w:t>
        </w:r>
        <w:proofErr w:type="spellEnd"/>
        <w:r w:rsidRPr="00341756">
          <w:rPr>
            <w:rStyle w:val="Hyperlink"/>
            <w:rFonts w:asciiTheme="majorBidi" w:hAnsiTheme="majorBidi" w:cstheme="majorBidi"/>
            <w:sz w:val="24"/>
            <w:szCs w:val="24"/>
          </w:rPr>
          <w:t>, 2009</w:t>
        </w:r>
      </w:hyperlink>
      <w:r w:rsidRPr="00341756">
        <w:rPr>
          <w:rFonts w:asciiTheme="majorBidi" w:hAnsiTheme="majorBidi" w:cstheme="majorBidi"/>
          <w:sz w:val="24"/>
          <w:szCs w:val="24"/>
        </w:rPr>
        <w:t>). It raises the firm's auditing risk represented by the modified opinion (</w:t>
      </w:r>
      <w:proofErr w:type="spellStart"/>
      <w:r w:rsidR="008C53F0">
        <w:fldChar w:fldCharType="begin"/>
      </w:r>
      <w:r w:rsidR="008C53F0">
        <w:instrText xml:space="preserve"> HYPERLINK \l "w9" </w:instrText>
      </w:r>
      <w:r w:rsidR="008C53F0">
        <w:fldChar w:fldCharType="separate"/>
      </w:r>
      <w:r w:rsidRPr="00341756">
        <w:rPr>
          <w:rStyle w:val="Hyperlink"/>
          <w:rFonts w:asciiTheme="majorBidi" w:hAnsiTheme="majorBidi" w:cstheme="majorBidi"/>
          <w:sz w:val="24"/>
          <w:szCs w:val="24"/>
        </w:rPr>
        <w:t>Simunic</w:t>
      </w:r>
      <w:proofErr w:type="spellEnd"/>
      <w:r w:rsidRPr="00341756">
        <w:rPr>
          <w:rStyle w:val="Hyperlink"/>
          <w:rFonts w:asciiTheme="majorBidi" w:hAnsiTheme="majorBidi" w:cstheme="majorBidi"/>
          <w:sz w:val="24"/>
          <w:szCs w:val="24"/>
        </w:rPr>
        <w:t>, 1980</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 xml:space="preserve">). Such risk may damage the firm's validity and reputation and lead to a significant loss, mainly if the company is publicly traded. </w:t>
      </w:r>
      <w:hyperlink w:anchor="w10" w:history="1">
        <w:r w:rsidRPr="00341756">
          <w:rPr>
            <w:rStyle w:val="Hyperlink"/>
            <w:rFonts w:asciiTheme="majorBidi" w:hAnsiTheme="majorBidi" w:cstheme="majorBidi"/>
            <w:sz w:val="24"/>
            <w:szCs w:val="24"/>
          </w:rPr>
          <w:t>Bond and Devereux (2003)</w:t>
        </w:r>
      </w:hyperlink>
      <w:r w:rsidRPr="00341756">
        <w:rPr>
          <w:rFonts w:asciiTheme="majorBidi" w:hAnsiTheme="majorBidi" w:cstheme="majorBidi"/>
          <w:sz w:val="24"/>
          <w:szCs w:val="24"/>
        </w:rPr>
        <w:t xml:space="preserve"> stated that </w:t>
      </w:r>
      <w:r w:rsidR="0059317C">
        <w:rPr>
          <w:rFonts w:asciiTheme="majorBidi" w:hAnsiTheme="majorBidi" w:cstheme="majorBidi"/>
          <w:sz w:val="24"/>
          <w:szCs w:val="24"/>
        </w:rPr>
        <w:t xml:space="preserve">the </w:t>
      </w:r>
      <w:r w:rsidRPr="00341756">
        <w:rPr>
          <w:rFonts w:asciiTheme="majorBidi" w:hAnsiTheme="majorBidi" w:cstheme="majorBidi"/>
          <w:sz w:val="24"/>
          <w:szCs w:val="24"/>
        </w:rPr>
        <w:t xml:space="preserve">tax avoidance is more frequent during uncertainty conditions, where </w:t>
      </w:r>
      <w:r w:rsidR="009F4709">
        <w:rPr>
          <w:rFonts w:asciiTheme="majorBidi" w:hAnsiTheme="majorBidi" w:cstheme="majorBidi"/>
          <w:sz w:val="24"/>
          <w:szCs w:val="24"/>
        </w:rPr>
        <w:t xml:space="preserve">the </w:t>
      </w:r>
      <w:r w:rsidRPr="00341756">
        <w:rPr>
          <w:rFonts w:asciiTheme="majorBidi" w:hAnsiTheme="majorBidi" w:cstheme="majorBidi"/>
          <w:sz w:val="24"/>
          <w:szCs w:val="24"/>
        </w:rPr>
        <w:t>firms are under the pressure of reduced cash inflows (</w:t>
      </w:r>
      <w:proofErr w:type="spellStart"/>
      <w:r w:rsidR="008C53F0">
        <w:fldChar w:fldCharType="begin"/>
      </w:r>
      <w:r w:rsidR="008C53F0">
        <w:instrText xml:space="preserve"> HYPERLINK \l "w11" </w:instrText>
      </w:r>
      <w:r w:rsidR="008C53F0">
        <w:fldChar w:fldCharType="separate"/>
      </w:r>
      <w:r w:rsidRPr="00341756">
        <w:rPr>
          <w:rStyle w:val="Hyperlink"/>
          <w:rFonts w:asciiTheme="majorBidi" w:hAnsiTheme="majorBidi" w:cstheme="majorBidi"/>
          <w:sz w:val="24"/>
          <w:szCs w:val="24"/>
        </w:rPr>
        <w:t>Badertscher</w:t>
      </w:r>
      <w:proofErr w:type="spellEnd"/>
      <w:r w:rsidR="00700030" w:rsidRPr="00341756">
        <w:rPr>
          <w:rStyle w:val="Hyperlink"/>
          <w:rFonts w:asciiTheme="majorBidi" w:hAnsiTheme="majorBidi" w:cstheme="majorBidi"/>
          <w:sz w:val="24"/>
          <w:szCs w:val="24"/>
        </w:rPr>
        <w:t xml:space="preserve"> et al.</w:t>
      </w:r>
      <w:r w:rsidRPr="00341756">
        <w:rPr>
          <w:rStyle w:val="Hyperlink"/>
          <w:rFonts w:asciiTheme="majorBidi" w:hAnsiTheme="majorBidi" w:cstheme="majorBidi"/>
          <w:sz w:val="24"/>
          <w:szCs w:val="24"/>
        </w:rPr>
        <w:t>, 2019</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 xml:space="preserve">). </w:t>
      </w:r>
    </w:p>
    <w:p w14:paraId="738D6B6F" w14:textId="79B500D6" w:rsidR="00DD17EF" w:rsidRPr="00341756" w:rsidRDefault="00DD17EF" w:rsidP="00293F27">
      <w:pPr>
        <w:jc w:val="both"/>
        <w:rPr>
          <w:rFonts w:asciiTheme="majorBidi" w:hAnsiTheme="majorBidi" w:cstheme="majorBidi"/>
          <w:sz w:val="24"/>
          <w:szCs w:val="24"/>
        </w:rPr>
      </w:pPr>
      <w:r w:rsidRPr="00341756">
        <w:rPr>
          <w:rFonts w:asciiTheme="majorBidi" w:hAnsiTheme="majorBidi" w:cstheme="majorBidi"/>
          <w:sz w:val="24"/>
          <w:szCs w:val="24"/>
        </w:rPr>
        <w:t>Recent studies reported that uncertainty leads to more tax avoidance/evasion (</w:t>
      </w:r>
      <w:proofErr w:type="spellStart"/>
      <w:r w:rsidR="008C53F0">
        <w:fldChar w:fldCharType="begin"/>
      </w:r>
      <w:r w:rsidR="008C53F0">
        <w:instrText xml:space="preserve"> HYPERLINK \l "w12" </w:instrText>
      </w:r>
      <w:r w:rsidR="008C53F0">
        <w:fldChar w:fldCharType="separate"/>
      </w:r>
      <w:r w:rsidRPr="00341756">
        <w:rPr>
          <w:rStyle w:val="Hyperlink"/>
          <w:rFonts w:asciiTheme="majorBidi" w:hAnsiTheme="majorBidi" w:cstheme="majorBidi"/>
          <w:sz w:val="24"/>
          <w:szCs w:val="24"/>
        </w:rPr>
        <w:t>D</w:t>
      </w:r>
      <w:r w:rsidR="00700030" w:rsidRPr="00341756">
        <w:rPr>
          <w:rStyle w:val="Hyperlink"/>
          <w:rFonts w:asciiTheme="majorBidi" w:hAnsiTheme="majorBidi" w:cstheme="majorBidi"/>
          <w:sz w:val="24"/>
          <w:szCs w:val="24"/>
        </w:rPr>
        <w:t>yreng</w:t>
      </w:r>
      <w:proofErr w:type="spellEnd"/>
      <w:r w:rsidR="00700030" w:rsidRPr="00341756">
        <w:rPr>
          <w:rStyle w:val="Hyperlink"/>
          <w:rFonts w:asciiTheme="majorBidi" w:hAnsiTheme="majorBidi" w:cstheme="majorBidi"/>
          <w:sz w:val="24"/>
          <w:szCs w:val="24"/>
        </w:rPr>
        <w:t xml:space="preserve"> et al.</w:t>
      </w:r>
      <w:r w:rsidRPr="00341756">
        <w:rPr>
          <w:rStyle w:val="Hyperlink"/>
          <w:rFonts w:asciiTheme="majorBidi" w:hAnsiTheme="majorBidi" w:cstheme="majorBidi"/>
          <w:sz w:val="24"/>
          <w:szCs w:val="24"/>
        </w:rPr>
        <w:t>,  2019</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 xml:space="preserve">; </w:t>
      </w:r>
      <w:hyperlink w:anchor="w13" w:history="1">
        <w:r w:rsidR="00CD081E" w:rsidRPr="00341756">
          <w:rPr>
            <w:rStyle w:val="Hyperlink"/>
            <w:rFonts w:asciiTheme="majorBidi" w:hAnsiTheme="majorBidi" w:cstheme="majorBidi"/>
            <w:sz w:val="24"/>
            <w:szCs w:val="24"/>
          </w:rPr>
          <w:t>Edward</w:t>
        </w:r>
        <w:r w:rsidR="00700030" w:rsidRPr="00341756">
          <w:rPr>
            <w:rStyle w:val="Hyperlink"/>
            <w:rFonts w:asciiTheme="majorBidi" w:hAnsiTheme="majorBidi" w:cstheme="majorBidi"/>
            <w:sz w:val="24"/>
            <w:szCs w:val="24"/>
          </w:rPr>
          <w:t xml:space="preserve"> et al.,</w:t>
        </w:r>
        <w:r w:rsidRPr="00341756">
          <w:rPr>
            <w:rStyle w:val="Hyperlink"/>
            <w:rFonts w:asciiTheme="majorBidi" w:hAnsiTheme="majorBidi" w:cstheme="majorBidi"/>
            <w:sz w:val="24"/>
            <w:szCs w:val="24"/>
          </w:rPr>
          <w:t xml:space="preserve"> 2015</w:t>
        </w:r>
      </w:hyperlink>
      <w:r w:rsidRPr="00341756">
        <w:rPr>
          <w:rFonts w:asciiTheme="majorBidi" w:hAnsiTheme="majorBidi" w:cstheme="majorBidi"/>
          <w:sz w:val="24"/>
          <w:szCs w:val="24"/>
        </w:rPr>
        <w:t xml:space="preserve">). Investors who are faced with uncertain government policies may use tax avoidance as risk </w:t>
      </w:r>
      <w:proofErr w:type="spellStart"/>
      <w:r w:rsidRPr="00341756">
        <w:rPr>
          <w:rFonts w:asciiTheme="majorBidi" w:hAnsiTheme="majorBidi" w:cstheme="majorBidi"/>
          <w:sz w:val="24"/>
          <w:szCs w:val="24"/>
        </w:rPr>
        <w:t>premia</w:t>
      </w:r>
      <w:proofErr w:type="spellEnd"/>
      <w:r w:rsidRPr="00341756">
        <w:rPr>
          <w:rFonts w:asciiTheme="majorBidi" w:hAnsiTheme="majorBidi" w:cstheme="majorBidi"/>
          <w:sz w:val="24"/>
          <w:szCs w:val="24"/>
        </w:rPr>
        <w:t xml:space="preserve"> to compensate for the higher financing cost in the equity markets (</w:t>
      </w:r>
      <w:proofErr w:type="spellStart"/>
      <w:r w:rsidR="008C53F0">
        <w:fldChar w:fldCharType="begin"/>
      </w:r>
      <w:r w:rsidR="008C53F0">
        <w:instrText xml:space="preserve"> HYPERLINK \l "w14" </w:instrText>
      </w:r>
      <w:r w:rsidR="008C53F0">
        <w:fldChar w:fldCharType="separate"/>
      </w:r>
      <w:r w:rsidRPr="00341756">
        <w:rPr>
          <w:rStyle w:val="Hyperlink"/>
          <w:rFonts w:asciiTheme="majorBidi" w:hAnsiTheme="majorBidi" w:cstheme="majorBidi"/>
          <w:sz w:val="24"/>
          <w:szCs w:val="24"/>
        </w:rPr>
        <w:t>Pástor</w:t>
      </w:r>
      <w:proofErr w:type="spellEnd"/>
      <w:r w:rsidRPr="00341756">
        <w:rPr>
          <w:rStyle w:val="Hyperlink"/>
          <w:rFonts w:asciiTheme="majorBidi" w:hAnsiTheme="majorBidi" w:cstheme="majorBidi"/>
          <w:sz w:val="24"/>
          <w:szCs w:val="24"/>
        </w:rPr>
        <w:t xml:space="preserve"> </w:t>
      </w:r>
      <w:r w:rsidR="00700030" w:rsidRPr="00341756">
        <w:rPr>
          <w:rStyle w:val="Hyperlink"/>
          <w:rFonts w:asciiTheme="majorBidi" w:hAnsiTheme="majorBidi" w:cstheme="majorBidi"/>
          <w:sz w:val="24"/>
          <w:szCs w:val="24"/>
        </w:rPr>
        <w:t>&amp;</w:t>
      </w:r>
      <w:r w:rsidRPr="00341756">
        <w:rPr>
          <w:rStyle w:val="Hyperlink"/>
          <w:rFonts w:asciiTheme="majorBidi" w:hAnsiTheme="majorBidi" w:cstheme="majorBidi"/>
          <w:sz w:val="24"/>
          <w:szCs w:val="24"/>
        </w:rPr>
        <w:t xml:space="preserve"> Veronesi, 2013</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 xml:space="preserve">; </w:t>
      </w:r>
      <w:hyperlink w:anchor="w15" w:history="1">
        <w:r w:rsidRPr="00341756">
          <w:rPr>
            <w:rStyle w:val="Hyperlink"/>
            <w:rFonts w:asciiTheme="majorBidi" w:hAnsiTheme="majorBidi" w:cstheme="majorBidi"/>
            <w:sz w:val="24"/>
            <w:szCs w:val="24"/>
          </w:rPr>
          <w:t xml:space="preserve">Law </w:t>
        </w:r>
        <w:r w:rsidR="00700030" w:rsidRPr="00341756">
          <w:rPr>
            <w:rStyle w:val="Hyperlink"/>
            <w:rFonts w:asciiTheme="majorBidi" w:hAnsiTheme="majorBidi" w:cstheme="majorBidi"/>
            <w:sz w:val="24"/>
            <w:szCs w:val="24"/>
          </w:rPr>
          <w:t>&amp;</w:t>
        </w:r>
        <w:r w:rsidRPr="00341756">
          <w:rPr>
            <w:rStyle w:val="Hyperlink"/>
            <w:rFonts w:asciiTheme="majorBidi" w:hAnsiTheme="majorBidi" w:cstheme="majorBidi"/>
            <w:sz w:val="24"/>
            <w:szCs w:val="24"/>
          </w:rPr>
          <w:t xml:space="preserve"> Mills, 2015</w:t>
        </w:r>
      </w:hyperlink>
      <w:r w:rsidRPr="00341756">
        <w:rPr>
          <w:rFonts w:asciiTheme="majorBidi" w:hAnsiTheme="majorBidi" w:cstheme="majorBidi"/>
          <w:sz w:val="24"/>
          <w:szCs w:val="24"/>
        </w:rPr>
        <w:t>).</w:t>
      </w:r>
    </w:p>
    <w:p w14:paraId="52648578" w14:textId="7E1068D5" w:rsidR="00C45F56" w:rsidRPr="00341756" w:rsidRDefault="007021F1" w:rsidP="00492E1E">
      <w:pPr>
        <w:jc w:val="both"/>
        <w:rPr>
          <w:rFonts w:asciiTheme="majorBidi" w:hAnsiTheme="majorBidi" w:cstheme="majorBidi"/>
          <w:sz w:val="24"/>
          <w:szCs w:val="24"/>
        </w:rPr>
      </w:pPr>
      <w:hyperlink w:anchor="w16" w:history="1">
        <w:proofErr w:type="spellStart"/>
        <w:r w:rsidR="00C45F56" w:rsidRPr="00341756">
          <w:rPr>
            <w:rStyle w:val="Hyperlink"/>
            <w:rFonts w:asciiTheme="majorBidi" w:hAnsiTheme="majorBidi" w:cstheme="majorBidi"/>
            <w:sz w:val="24"/>
            <w:szCs w:val="24"/>
          </w:rPr>
          <w:t>Sudibyo</w:t>
        </w:r>
        <w:proofErr w:type="spellEnd"/>
        <w:r w:rsidR="00C45F56" w:rsidRPr="00341756">
          <w:rPr>
            <w:rStyle w:val="Hyperlink"/>
            <w:rFonts w:asciiTheme="majorBidi" w:hAnsiTheme="majorBidi" w:cstheme="majorBidi"/>
            <w:sz w:val="24"/>
            <w:szCs w:val="24"/>
          </w:rPr>
          <w:t xml:space="preserve"> and </w:t>
        </w:r>
        <w:proofErr w:type="spellStart"/>
        <w:r w:rsidR="00DD17EF" w:rsidRPr="00341756">
          <w:rPr>
            <w:rStyle w:val="Hyperlink"/>
            <w:rFonts w:asciiTheme="majorBidi" w:hAnsiTheme="majorBidi" w:cstheme="majorBidi"/>
            <w:sz w:val="24"/>
            <w:szCs w:val="24"/>
          </w:rPr>
          <w:t>Jianfu</w:t>
        </w:r>
        <w:proofErr w:type="spellEnd"/>
        <w:r w:rsidR="00DD17EF" w:rsidRPr="00341756">
          <w:rPr>
            <w:rStyle w:val="Hyperlink"/>
            <w:rFonts w:asciiTheme="majorBidi" w:hAnsiTheme="majorBidi" w:cstheme="majorBidi"/>
            <w:sz w:val="24"/>
            <w:szCs w:val="24"/>
          </w:rPr>
          <w:t xml:space="preserve"> (2016)</w:t>
        </w:r>
      </w:hyperlink>
      <w:r w:rsidR="00DD17EF" w:rsidRPr="00341756">
        <w:rPr>
          <w:rFonts w:asciiTheme="majorBidi" w:hAnsiTheme="majorBidi" w:cstheme="majorBidi"/>
          <w:sz w:val="24"/>
          <w:szCs w:val="24"/>
        </w:rPr>
        <w:t xml:space="preserve"> claim that government ownership creates a conflict of interests </w:t>
      </w:r>
      <w:r w:rsidR="00E208BA">
        <w:rPr>
          <w:rFonts w:asciiTheme="majorBidi" w:hAnsiTheme="majorBidi" w:cstheme="majorBidi"/>
          <w:sz w:val="24"/>
          <w:szCs w:val="24"/>
        </w:rPr>
        <w:t>which</w:t>
      </w:r>
      <w:r w:rsidR="00E208BA" w:rsidRPr="00341756">
        <w:rPr>
          <w:rFonts w:asciiTheme="majorBidi" w:hAnsiTheme="majorBidi" w:cstheme="majorBidi"/>
          <w:sz w:val="24"/>
          <w:szCs w:val="24"/>
        </w:rPr>
        <w:t xml:space="preserve"> </w:t>
      </w:r>
      <w:r w:rsidR="00DD17EF" w:rsidRPr="00341756">
        <w:rPr>
          <w:rFonts w:asciiTheme="majorBidi" w:hAnsiTheme="majorBidi" w:cstheme="majorBidi"/>
          <w:sz w:val="24"/>
          <w:szCs w:val="24"/>
        </w:rPr>
        <w:t xml:space="preserve">affects tax reporting. The government wants to maximize tax revenues to fulfill social and political goals. However, the company's manager, who is hired by the government has the opportunity </w:t>
      </w:r>
      <w:r w:rsidR="003E3A28">
        <w:rPr>
          <w:rFonts w:asciiTheme="majorBidi" w:hAnsiTheme="majorBidi" w:cstheme="majorBidi"/>
          <w:sz w:val="24"/>
          <w:szCs w:val="24"/>
        </w:rPr>
        <w:t>via</w:t>
      </w:r>
      <w:r w:rsidR="003E3A28" w:rsidRPr="00341756">
        <w:rPr>
          <w:rFonts w:asciiTheme="majorBidi" w:hAnsiTheme="majorBidi" w:cstheme="majorBidi"/>
          <w:sz w:val="24"/>
          <w:szCs w:val="24"/>
        </w:rPr>
        <w:t xml:space="preserve"> </w:t>
      </w:r>
      <w:r w:rsidR="00DD17EF" w:rsidRPr="00341756">
        <w:rPr>
          <w:rFonts w:asciiTheme="majorBidi" w:hAnsiTheme="majorBidi" w:cstheme="majorBidi"/>
          <w:sz w:val="24"/>
          <w:szCs w:val="24"/>
        </w:rPr>
        <w:t xml:space="preserve">his network/relations to avoid the taxes (corruption) for profitability goal </w:t>
      </w:r>
      <w:r w:rsidR="00492E1E">
        <w:rPr>
          <w:rFonts w:asciiTheme="majorBidi" w:hAnsiTheme="majorBidi" w:cstheme="majorBidi"/>
          <w:sz w:val="24"/>
          <w:szCs w:val="24"/>
        </w:rPr>
        <w:t>which</w:t>
      </w:r>
      <w:r w:rsidR="00492E1E" w:rsidRPr="00341756">
        <w:rPr>
          <w:rFonts w:asciiTheme="majorBidi" w:hAnsiTheme="majorBidi" w:cstheme="majorBidi"/>
          <w:sz w:val="24"/>
          <w:szCs w:val="24"/>
        </w:rPr>
        <w:t xml:space="preserve"> </w:t>
      </w:r>
      <w:r w:rsidR="00DD17EF" w:rsidRPr="00341756">
        <w:rPr>
          <w:rFonts w:asciiTheme="majorBidi" w:hAnsiTheme="majorBidi" w:cstheme="majorBidi"/>
          <w:sz w:val="24"/>
          <w:szCs w:val="24"/>
        </w:rPr>
        <w:t>creates an unexpected implicit conflict of interest between the government and the manager (</w:t>
      </w:r>
      <w:proofErr w:type="spellStart"/>
      <w:r w:rsidR="008C53F0">
        <w:fldChar w:fldCharType="begin"/>
      </w:r>
      <w:r w:rsidR="008C53F0">
        <w:instrText xml:space="preserve"> HYPERLINK \l "w17" </w:instrText>
      </w:r>
      <w:r w:rsidR="008C53F0">
        <w:fldChar w:fldCharType="separate"/>
      </w:r>
      <w:r w:rsidR="00DD17EF" w:rsidRPr="00341756">
        <w:rPr>
          <w:rStyle w:val="Hyperlink"/>
          <w:rFonts w:asciiTheme="majorBidi" w:hAnsiTheme="majorBidi" w:cstheme="majorBidi"/>
          <w:sz w:val="24"/>
          <w:szCs w:val="24"/>
        </w:rPr>
        <w:t>Mafrolla</w:t>
      </w:r>
      <w:proofErr w:type="spellEnd"/>
      <w:r w:rsidR="00DD17EF" w:rsidRPr="00341756">
        <w:rPr>
          <w:rStyle w:val="Hyperlink"/>
          <w:rFonts w:asciiTheme="majorBidi" w:hAnsiTheme="majorBidi" w:cstheme="majorBidi"/>
          <w:sz w:val="24"/>
          <w:szCs w:val="24"/>
        </w:rPr>
        <w:t>, 2019</w:t>
      </w:r>
      <w:r w:rsidR="008C53F0">
        <w:rPr>
          <w:rStyle w:val="Hyperlink"/>
          <w:rFonts w:asciiTheme="majorBidi" w:hAnsiTheme="majorBidi" w:cstheme="majorBidi"/>
          <w:sz w:val="24"/>
          <w:szCs w:val="24"/>
        </w:rPr>
        <w:fldChar w:fldCharType="end"/>
      </w:r>
      <w:r w:rsidR="00DD17EF" w:rsidRPr="00341756">
        <w:rPr>
          <w:rFonts w:asciiTheme="majorBidi" w:hAnsiTheme="majorBidi" w:cstheme="majorBidi"/>
          <w:sz w:val="24"/>
          <w:szCs w:val="24"/>
        </w:rPr>
        <w:t>).</w:t>
      </w:r>
    </w:p>
    <w:p w14:paraId="5E31F54F" w14:textId="76A6A759" w:rsidR="0050305B" w:rsidRPr="00341756" w:rsidRDefault="00DD17EF" w:rsidP="00365E96">
      <w:pPr>
        <w:jc w:val="both"/>
        <w:rPr>
          <w:rFonts w:asciiTheme="majorBidi" w:hAnsiTheme="majorBidi" w:cstheme="majorBidi"/>
          <w:sz w:val="24"/>
          <w:szCs w:val="24"/>
        </w:rPr>
      </w:pPr>
      <w:r w:rsidRPr="00341756">
        <w:rPr>
          <w:rFonts w:asciiTheme="majorBidi" w:hAnsiTheme="majorBidi" w:cstheme="majorBidi"/>
          <w:sz w:val="24"/>
          <w:szCs w:val="24"/>
        </w:rPr>
        <w:lastRenderedPageBreak/>
        <w:t xml:space="preserve">Iran is ranked 79 among 80 countries in Performance Ranking and Economic Conditions by the Global Bank in 2019. </w:t>
      </w:r>
      <w:r w:rsidR="009E15B2">
        <w:rPr>
          <w:rFonts w:asciiTheme="majorBidi" w:hAnsiTheme="majorBidi" w:cstheme="majorBidi"/>
          <w:sz w:val="24"/>
          <w:szCs w:val="24"/>
        </w:rPr>
        <w:t>It</w:t>
      </w:r>
      <w:r w:rsidR="009E15B2"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indicates unstable economic conditions and limited access to information in the country. Private local firms have limited strategies to increase the future value of their investments due to the lack of reliable information. The stock market in Iran is highly volatile </w:t>
      </w:r>
      <w:r w:rsidR="00D86E22">
        <w:rPr>
          <w:rFonts w:asciiTheme="majorBidi" w:hAnsiTheme="majorBidi" w:cstheme="majorBidi"/>
          <w:sz w:val="24"/>
          <w:szCs w:val="24"/>
        </w:rPr>
        <w:t>which depends</w:t>
      </w:r>
      <w:r w:rsidRPr="00341756">
        <w:rPr>
          <w:rFonts w:asciiTheme="majorBidi" w:hAnsiTheme="majorBidi" w:cstheme="majorBidi"/>
          <w:sz w:val="24"/>
          <w:szCs w:val="24"/>
        </w:rPr>
        <w:t xml:space="preserve"> on macroeconomic variables with a shortage of foreign investors. </w:t>
      </w:r>
    </w:p>
    <w:p w14:paraId="10329576" w14:textId="5B11F47E" w:rsidR="0050305B" w:rsidRPr="00341756" w:rsidRDefault="00F736F8" w:rsidP="0059136F">
      <w:pPr>
        <w:jc w:val="both"/>
        <w:rPr>
          <w:rFonts w:asciiTheme="majorBidi" w:eastAsia="Times New Roman" w:hAnsiTheme="majorBidi" w:cstheme="majorBidi"/>
          <w:color w:val="auto"/>
          <w:sz w:val="24"/>
          <w:szCs w:val="24"/>
        </w:rPr>
      </w:pPr>
      <w:r>
        <w:rPr>
          <w:rFonts w:asciiTheme="majorBidi" w:eastAsia="Times New Roman" w:hAnsiTheme="majorBidi" w:cstheme="majorBidi"/>
          <w:color w:val="auto"/>
          <w:sz w:val="24"/>
          <w:szCs w:val="24"/>
        </w:rPr>
        <w:t>A</w:t>
      </w:r>
      <w:r w:rsidR="0050305B" w:rsidRPr="00341756">
        <w:rPr>
          <w:rFonts w:asciiTheme="majorBidi" w:eastAsia="Times New Roman" w:hAnsiTheme="majorBidi" w:cstheme="majorBidi"/>
          <w:color w:val="auto"/>
          <w:sz w:val="24"/>
          <w:szCs w:val="24"/>
        </w:rPr>
        <w:t xml:space="preserve"> significant number of private investors </w:t>
      </w:r>
      <w:r>
        <w:rPr>
          <w:rFonts w:asciiTheme="majorBidi" w:eastAsia="Times New Roman" w:hAnsiTheme="majorBidi" w:cstheme="majorBidi"/>
          <w:color w:val="auto"/>
          <w:sz w:val="24"/>
          <w:szCs w:val="24"/>
        </w:rPr>
        <w:t xml:space="preserve">recently </w:t>
      </w:r>
      <w:r w:rsidR="0050305B" w:rsidRPr="00341756">
        <w:rPr>
          <w:rFonts w:asciiTheme="majorBidi" w:eastAsia="Times New Roman" w:hAnsiTheme="majorBidi" w:cstheme="majorBidi"/>
          <w:color w:val="auto"/>
          <w:sz w:val="24"/>
          <w:szCs w:val="24"/>
        </w:rPr>
        <w:t>exited the market due to the market uncertainty and volatility caused by government decisions</w:t>
      </w:r>
      <w:r w:rsidR="00AE4BD2" w:rsidRPr="00341756">
        <w:rPr>
          <w:rFonts w:asciiTheme="majorBidi" w:eastAsia="Times New Roman" w:hAnsiTheme="majorBidi" w:cstheme="majorBidi"/>
          <w:color w:val="auto"/>
          <w:sz w:val="24"/>
          <w:szCs w:val="24"/>
        </w:rPr>
        <w:t xml:space="preserve"> </w:t>
      </w:r>
      <w:hyperlink w:anchor="w18" w:history="1">
        <w:r w:rsidR="00AE4BD2" w:rsidRPr="00341756">
          <w:rPr>
            <w:rStyle w:val="Hyperlink"/>
            <w:rFonts w:asciiTheme="majorBidi" w:hAnsiTheme="majorBidi" w:cstheme="majorBidi"/>
            <w:sz w:val="24"/>
            <w:szCs w:val="24"/>
          </w:rPr>
          <w:t>(</w:t>
        </w:r>
        <w:proofErr w:type="spellStart"/>
        <w:r w:rsidR="00AE4BD2" w:rsidRPr="00341756">
          <w:rPr>
            <w:rStyle w:val="Hyperlink"/>
            <w:rFonts w:asciiTheme="majorBidi" w:hAnsiTheme="majorBidi" w:cstheme="majorBidi"/>
            <w:sz w:val="24"/>
            <w:szCs w:val="24"/>
          </w:rPr>
          <w:t>Campello</w:t>
        </w:r>
        <w:proofErr w:type="spellEnd"/>
        <w:r w:rsidR="00700030" w:rsidRPr="00341756">
          <w:rPr>
            <w:rStyle w:val="Hyperlink"/>
            <w:rFonts w:asciiTheme="majorBidi" w:hAnsiTheme="majorBidi" w:cstheme="majorBidi"/>
            <w:sz w:val="24"/>
            <w:szCs w:val="24"/>
          </w:rPr>
          <w:t xml:space="preserve"> et al.</w:t>
        </w:r>
        <w:r w:rsidR="00AE4BD2" w:rsidRPr="00341756">
          <w:rPr>
            <w:rStyle w:val="Hyperlink"/>
            <w:rFonts w:asciiTheme="majorBidi" w:hAnsiTheme="majorBidi" w:cstheme="majorBidi"/>
            <w:sz w:val="24"/>
            <w:szCs w:val="24"/>
          </w:rPr>
          <w:t>, 2010)</w:t>
        </w:r>
      </w:hyperlink>
      <w:r w:rsidR="00AE4BD2" w:rsidRPr="00341756">
        <w:rPr>
          <w:rFonts w:asciiTheme="majorBidi" w:hAnsiTheme="majorBidi" w:cstheme="majorBidi"/>
          <w:sz w:val="24"/>
          <w:szCs w:val="24"/>
        </w:rPr>
        <w:t>.</w:t>
      </w:r>
      <w:r w:rsidR="0050305B" w:rsidRPr="00341756">
        <w:rPr>
          <w:rFonts w:asciiTheme="majorBidi" w:eastAsia="Times New Roman" w:hAnsiTheme="majorBidi" w:cstheme="majorBidi"/>
          <w:color w:val="auto"/>
          <w:sz w:val="24"/>
          <w:szCs w:val="24"/>
        </w:rPr>
        <w:t xml:space="preserve"> Consequently, government investments have crowded out private investment. Iranian parliament reported 115</w:t>
      </w:r>
      <w:r w:rsidR="0050305B" w:rsidRPr="00341756">
        <w:rPr>
          <w:rStyle w:val="FootnoteReference"/>
          <w:rFonts w:asciiTheme="majorBidi" w:hAnsiTheme="majorBidi" w:cstheme="majorBidi"/>
          <w:sz w:val="24"/>
          <w:szCs w:val="24"/>
        </w:rPr>
        <w:footnoteReference w:id="1"/>
      </w:r>
      <w:r w:rsidR="0050305B" w:rsidRPr="00341756">
        <w:rPr>
          <w:rFonts w:asciiTheme="majorBidi" w:eastAsia="Times New Roman" w:hAnsiTheme="majorBidi" w:cstheme="majorBidi"/>
          <w:color w:val="auto"/>
          <w:sz w:val="24"/>
          <w:szCs w:val="24"/>
        </w:rPr>
        <w:t xml:space="preserve"> out of 244 listed companies are either owned by the government or controlled by organizations with 50% of government shares. 66% of stock market capitalization belongs to firms where the government is their major shareholder. No previous study has looked at the impact of uncertainty and government ownership on the independent auditor's opinion in Iran. The current study fills this literature gap by answering two questions; Does market uncertainty increase the tax avoidance effect on the auditor's modified opinion? Does government ownership increase the tax avoidance effect on the auditor's modified opinion?</w:t>
      </w:r>
    </w:p>
    <w:p w14:paraId="2F7B79FF" w14:textId="72EC277E" w:rsidR="0072744D" w:rsidRPr="00341756" w:rsidRDefault="0072744D" w:rsidP="0039008D">
      <w:pPr>
        <w:jc w:val="both"/>
        <w:rPr>
          <w:rFonts w:asciiTheme="majorBidi" w:hAnsiTheme="majorBidi" w:cstheme="majorBidi"/>
          <w:b/>
          <w:bCs/>
          <w:sz w:val="24"/>
          <w:szCs w:val="24"/>
        </w:rPr>
      </w:pPr>
      <w:bookmarkStart w:id="0" w:name="_gjdgxs" w:colFirst="0" w:colLast="0"/>
      <w:bookmarkEnd w:id="0"/>
      <w:r w:rsidRPr="00341756">
        <w:rPr>
          <w:rFonts w:asciiTheme="majorBidi" w:hAnsiTheme="majorBidi" w:cstheme="majorBidi"/>
          <w:b/>
          <w:bCs/>
          <w:sz w:val="24"/>
          <w:szCs w:val="24"/>
        </w:rPr>
        <w:t xml:space="preserve">2. Literature </w:t>
      </w:r>
      <w:r w:rsidR="00794988" w:rsidRPr="00341756">
        <w:rPr>
          <w:rFonts w:asciiTheme="majorBidi" w:hAnsiTheme="majorBidi" w:cstheme="majorBidi"/>
          <w:b/>
          <w:bCs/>
          <w:sz w:val="24"/>
          <w:szCs w:val="24"/>
        </w:rPr>
        <w:t>r</w:t>
      </w:r>
      <w:r w:rsidRPr="00341756">
        <w:rPr>
          <w:rFonts w:asciiTheme="majorBidi" w:hAnsiTheme="majorBidi" w:cstheme="majorBidi"/>
          <w:b/>
          <w:bCs/>
          <w:sz w:val="24"/>
          <w:szCs w:val="24"/>
        </w:rPr>
        <w:t>eview</w:t>
      </w:r>
      <w:r w:rsidR="00794988" w:rsidRPr="00341756">
        <w:rPr>
          <w:rFonts w:asciiTheme="majorBidi" w:hAnsiTheme="majorBidi" w:cstheme="majorBidi"/>
          <w:b/>
          <w:bCs/>
          <w:sz w:val="24"/>
          <w:szCs w:val="24"/>
        </w:rPr>
        <w:t xml:space="preserve"> and hypotheses development</w:t>
      </w:r>
    </w:p>
    <w:p w14:paraId="1B198FB9" w14:textId="2C0FB522" w:rsidR="002C00C4" w:rsidRPr="00656CFF" w:rsidRDefault="002C00C4" w:rsidP="00CA7867">
      <w:pPr>
        <w:jc w:val="both"/>
        <w:rPr>
          <w:rFonts w:asciiTheme="majorBidi" w:hAnsiTheme="majorBidi" w:cstheme="majorBidi"/>
          <w:sz w:val="24"/>
          <w:szCs w:val="24"/>
          <w:highlight w:val="yellow"/>
        </w:rPr>
      </w:pPr>
      <w:r w:rsidRPr="00656CFF">
        <w:rPr>
          <w:rFonts w:asciiTheme="majorBidi" w:hAnsiTheme="majorBidi" w:cstheme="majorBidi"/>
          <w:sz w:val="24"/>
          <w:szCs w:val="24"/>
          <w:highlight w:val="yellow"/>
        </w:rPr>
        <w:t>Tax avoidance is elusion from paying tax within the structure of tax regulations without violating the rules (</w:t>
      </w:r>
      <w:hyperlink w:anchor="w73" w:history="1">
        <w:r w:rsidR="009E5D9C" w:rsidRPr="00656CFF">
          <w:rPr>
            <w:rStyle w:val="Hyperlink"/>
            <w:rFonts w:asciiTheme="majorBidi" w:hAnsiTheme="majorBidi" w:cstheme="majorBidi"/>
            <w:sz w:val="24"/>
            <w:szCs w:val="24"/>
            <w:highlight w:val="yellow"/>
          </w:rPr>
          <w:t>Agrawal</w:t>
        </w:r>
        <w:r w:rsidRPr="00656CFF">
          <w:rPr>
            <w:rStyle w:val="Hyperlink"/>
            <w:rFonts w:asciiTheme="majorBidi" w:hAnsiTheme="majorBidi" w:cstheme="majorBidi"/>
            <w:sz w:val="24"/>
            <w:szCs w:val="24"/>
            <w:highlight w:val="yellow"/>
          </w:rPr>
          <w:t>, 2007</w:t>
        </w:r>
      </w:hyperlink>
      <w:r w:rsidRPr="00656CFF">
        <w:rPr>
          <w:rFonts w:asciiTheme="majorBidi" w:hAnsiTheme="majorBidi" w:cstheme="majorBidi"/>
          <w:sz w:val="24"/>
          <w:szCs w:val="24"/>
          <w:highlight w:val="yellow"/>
        </w:rPr>
        <w:t>). Tax avoidance processes refer to the tax</w:t>
      </w:r>
      <w:r w:rsidR="009019C6" w:rsidRPr="00656CFF">
        <w:rPr>
          <w:rFonts w:asciiTheme="majorBidi" w:hAnsiTheme="majorBidi" w:cstheme="majorBidi"/>
          <w:sz w:val="24"/>
          <w:szCs w:val="24"/>
          <w:highlight w:val="yellow"/>
        </w:rPr>
        <w:t>-</w:t>
      </w:r>
      <w:r w:rsidRPr="00656CFF">
        <w:rPr>
          <w:rFonts w:asciiTheme="majorBidi" w:hAnsiTheme="majorBidi" w:cstheme="majorBidi"/>
          <w:sz w:val="24"/>
          <w:szCs w:val="24"/>
          <w:highlight w:val="yellow"/>
        </w:rPr>
        <w:t xml:space="preserve">saving tools </w:t>
      </w:r>
      <w:r w:rsidR="0028454A" w:rsidRPr="00656CFF">
        <w:rPr>
          <w:rFonts w:asciiTheme="majorBidi" w:hAnsiTheme="majorBidi" w:cstheme="majorBidi"/>
          <w:sz w:val="24"/>
          <w:szCs w:val="24"/>
          <w:highlight w:val="yellow"/>
        </w:rPr>
        <w:t xml:space="preserve">which </w:t>
      </w:r>
      <w:r w:rsidRPr="00656CFF">
        <w:rPr>
          <w:rFonts w:asciiTheme="majorBidi" w:hAnsiTheme="majorBidi" w:cstheme="majorBidi"/>
          <w:sz w:val="24"/>
          <w:szCs w:val="24"/>
          <w:highlight w:val="yellow"/>
        </w:rPr>
        <w:t>transfer the resources from the government to the shareholders (</w:t>
      </w:r>
      <w:hyperlink w:anchor="w8" w:history="1">
        <w:r w:rsidR="000D60FC" w:rsidRPr="00656CFF">
          <w:rPr>
            <w:rStyle w:val="Hyperlink"/>
            <w:rFonts w:asciiTheme="majorBidi" w:hAnsiTheme="majorBidi" w:cstheme="majorBidi"/>
            <w:sz w:val="24"/>
            <w:szCs w:val="24"/>
            <w:highlight w:val="yellow"/>
          </w:rPr>
          <w:t xml:space="preserve">Desai </w:t>
        </w:r>
        <w:r w:rsidR="009E5D9C" w:rsidRPr="00656CFF">
          <w:rPr>
            <w:rStyle w:val="Hyperlink"/>
            <w:rFonts w:asciiTheme="majorBidi" w:hAnsiTheme="majorBidi" w:cstheme="majorBidi"/>
            <w:sz w:val="24"/>
            <w:szCs w:val="24"/>
            <w:highlight w:val="yellow"/>
          </w:rPr>
          <w:t>&amp;</w:t>
        </w:r>
        <w:r w:rsidR="000D60FC" w:rsidRPr="00656CFF">
          <w:rPr>
            <w:rStyle w:val="Hyperlink"/>
            <w:rFonts w:asciiTheme="majorBidi" w:hAnsiTheme="majorBidi" w:cstheme="majorBidi"/>
            <w:sz w:val="24"/>
            <w:szCs w:val="24"/>
            <w:highlight w:val="yellow"/>
          </w:rPr>
          <w:t xml:space="preserve"> </w:t>
        </w:r>
        <w:proofErr w:type="spellStart"/>
        <w:r w:rsidR="00E6116A" w:rsidRPr="00656CFF">
          <w:rPr>
            <w:rStyle w:val="Hyperlink"/>
            <w:rFonts w:asciiTheme="majorBidi" w:hAnsiTheme="majorBidi" w:cstheme="majorBidi"/>
            <w:sz w:val="24"/>
            <w:szCs w:val="24"/>
            <w:highlight w:val="yellow"/>
          </w:rPr>
          <w:t>Darmapala</w:t>
        </w:r>
        <w:proofErr w:type="spellEnd"/>
        <w:r w:rsidRPr="00656CFF">
          <w:rPr>
            <w:rStyle w:val="Hyperlink"/>
            <w:rFonts w:asciiTheme="majorBidi" w:hAnsiTheme="majorBidi" w:cstheme="majorBidi"/>
            <w:sz w:val="24"/>
            <w:szCs w:val="24"/>
            <w:highlight w:val="yellow"/>
          </w:rPr>
          <w:t>, 2009</w:t>
        </w:r>
      </w:hyperlink>
      <w:r w:rsidRPr="00656CFF">
        <w:rPr>
          <w:rFonts w:asciiTheme="majorBidi" w:hAnsiTheme="majorBidi" w:cstheme="majorBidi"/>
          <w:sz w:val="24"/>
          <w:szCs w:val="24"/>
          <w:highlight w:val="yellow"/>
        </w:rPr>
        <w:t xml:space="preserve">). </w:t>
      </w:r>
      <w:r w:rsidR="00A4048C" w:rsidRPr="00656CFF">
        <w:rPr>
          <w:rFonts w:asciiTheme="majorBidi" w:hAnsiTheme="majorBidi" w:cstheme="majorBidi"/>
          <w:sz w:val="24"/>
          <w:szCs w:val="24"/>
          <w:highlight w:val="yellow"/>
        </w:rPr>
        <w:t>By providing a free cash flow, the corporates use the tax avoidance strategy to reduce tax, directly affecting their</w:t>
      </w:r>
      <w:r w:rsidR="00A4048C" w:rsidRPr="00656CFF">
        <w:rPr>
          <w:sz w:val="24"/>
          <w:szCs w:val="24"/>
          <w:highlight w:val="yellow"/>
        </w:rPr>
        <w:t xml:space="preserve"> </w:t>
      </w:r>
      <w:r w:rsidR="00A4048C" w:rsidRPr="00656CFF">
        <w:rPr>
          <w:rFonts w:asciiTheme="majorBidi" w:hAnsiTheme="majorBidi" w:cstheme="majorBidi"/>
          <w:sz w:val="24"/>
          <w:szCs w:val="24"/>
          <w:highlight w:val="yellow"/>
        </w:rPr>
        <w:t>performance and value</w:t>
      </w:r>
      <w:r w:rsidR="00A4048C" w:rsidRPr="00656CFF">
        <w:rPr>
          <w:sz w:val="24"/>
          <w:szCs w:val="24"/>
          <w:highlight w:val="yellow"/>
        </w:rPr>
        <w:t xml:space="preserve"> (</w:t>
      </w:r>
      <w:hyperlink w:anchor="w74" w:tgtFrame="_blank" w:history="1">
        <w:r w:rsidR="00A4048C" w:rsidRPr="00656CFF">
          <w:rPr>
            <w:color w:val="4A6EE0"/>
            <w:sz w:val="24"/>
            <w:szCs w:val="24"/>
            <w:highlight w:val="yellow"/>
            <w:u w:val="single"/>
          </w:rPr>
          <w:t xml:space="preserve">Lehn &amp; </w:t>
        </w:r>
        <w:proofErr w:type="spellStart"/>
        <w:r w:rsidR="00A4048C" w:rsidRPr="00656CFF">
          <w:rPr>
            <w:color w:val="4A6EE0"/>
            <w:sz w:val="24"/>
            <w:szCs w:val="24"/>
            <w:highlight w:val="yellow"/>
            <w:u w:val="single"/>
          </w:rPr>
          <w:t>Poulsen</w:t>
        </w:r>
        <w:proofErr w:type="spellEnd"/>
        <w:r w:rsidR="00A4048C" w:rsidRPr="00656CFF">
          <w:rPr>
            <w:color w:val="4A6EE0"/>
            <w:sz w:val="24"/>
            <w:szCs w:val="24"/>
            <w:highlight w:val="yellow"/>
            <w:u w:val="single"/>
          </w:rPr>
          <w:t>, 1989</w:t>
        </w:r>
      </w:hyperlink>
      <w:r w:rsidR="00A4048C" w:rsidRPr="00656CFF">
        <w:rPr>
          <w:sz w:val="24"/>
          <w:szCs w:val="24"/>
          <w:highlight w:val="yellow"/>
        </w:rPr>
        <w:t>). </w:t>
      </w:r>
      <w:r w:rsidRPr="00656CFF">
        <w:rPr>
          <w:rFonts w:asciiTheme="majorBidi" w:hAnsiTheme="majorBidi" w:cstheme="majorBidi"/>
          <w:sz w:val="24"/>
          <w:szCs w:val="24"/>
          <w:highlight w:val="yellow"/>
        </w:rPr>
        <w:t>However, such strategies have s</w:t>
      </w:r>
      <w:r w:rsidR="00A40041" w:rsidRPr="00656CFF">
        <w:rPr>
          <w:rFonts w:asciiTheme="majorBidi" w:hAnsiTheme="majorBidi" w:cstheme="majorBidi"/>
          <w:sz w:val="24"/>
          <w:szCs w:val="24"/>
          <w:highlight w:val="yellow"/>
        </w:rPr>
        <w:t>ome inevitable consequences too</w:t>
      </w:r>
      <w:r w:rsidR="00973107" w:rsidRPr="00656CFF">
        <w:rPr>
          <w:rFonts w:asciiTheme="majorBidi" w:hAnsiTheme="majorBidi" w:cstheme="majorBidi"/>
          <w:sz w:val="24"/>
          <w:szCs w:val="24"/>
          <w:highlight w:val="yellow"/>
        </w:rPr>
        <w:t xml:space="preserve">. </w:t>
      </w:r>
      <w:r w:rsidRPr="00656CFF">
        <w:rPr>
          <w:rFonts w:asciiTheme="majorBidi" w:hAnsiTheme="majorBidi" w:cstheme="majorBidi"/>
          <w:sz w:val="24"/>
          <w:szCs w:val="24"/>
          <w:highlight w:val="yellow"/>
        </w:rPr>
        <w:t>It is stated by</w:t>
      </w:r>
      <w:hyperlink w:anchor="w75" w:history="1">
        <w:r w:rsidRPr="00656CFF">
          <w:rPr>
            <w:rStyle w:val="Hyperlink"/>
            <w:rFonts w:asciiTheme="majorBidi" w:hAnsiTheme="majorBidi" w:cstheme="majorBidi"/>
            <w:sz w:val="24"/>
            <w:szCs w:val="24"/>
            <w:highlight w:val="yellow"/>
          </w:rPr>
          <w:t xml:space="preserve"> </w:t>
        </w:r>
        <w:r w:rsidR="000D60FC" w:rsidRPr="00656CFF">
          <w:rPr>
            <w:rStyle w:val="Hyperlink"/>
            <w:rFonts w:asciiTheme="majorBidi" w:hAnsiTheme="majorBidi" w:cstheme="majorBidi"/>
            <w:sz w:val="24"/>
            <w:szCs w:val="24"/>
            <w:highlight w:val="yellow"/>
          </w:rPr>
          <w:t xml:space="preserve">Hanlon and </w:t>
        </w:r>
        <w:proofErr w:type="spellStart"/>
        <w:r w:rsidR="000D60FC" w:rsidRPr="00656CFF">
          <w:rPr>
            <w:rStyle w:val="Hyperlink"/>
            <w:rFonts w:asciiTheme="majorBidi" w:hAnsiTheme="majorBidi" w:cstheme="majorBidi"/>
            <w:sz w:val="24"/>
            <w:szCs w:val="24"/>
            <w:highlight w:val="yellow"/>
          </w:rPr>
          <w:t>Heitzman</w:t>
        </w:r>
        <w:proofErr w:type="spellEnd"/>
        <w:r w:rsidR="000D60FC" w:rsidRPr="00656CFF">
          <w:rPr>
            <w:rStyle w:val="Hyperlink"/>
            <w:rFonts w:asciiTheme="majorBidi" w:hAnsiTheme="majorBidi" w:cstheme="majorBidi"/>
            <w:sz w:val="24"/>
            <w:szCs w:val="24"/>
            <w:highlight w:val="yellow"/>
          </w:rPr>
          <w:t xml:space="preserve"> </w:t>
        </w:r>
        <w:r w:rsidRPr="00656CFF">
          <w:rPr>
            <w:rStyle w:val="Hyperlink"/>
            <w:rFonts w:asciiTheme="majorBidi" w:hAnsiTheme="majorBidi" w:cstheme="majorBidi"/>
            <w:sz w:val="24"/>
            <w:szCs w:val="24"/>
            <w:highlight w:val="yellow"/>
          </w:rPr>
          <w:t>(2010)</w:t>
        </w:r>
      </w:hyperlink>
      <w:r w:rsidRPr="00656CFF">
        <w:rPr>
          <w:rFonts w:asciiTheme="majorBidi" w:hAnsiTheme="majorBidi" w:cstheme="majorBidi"/>
          <w:sz w:val="24"/>
          <w:szCs w:val="24"/>
          <w:highlight w:val="yellow"/>
        </w:rPr>
        <w:t xml:space="preserve"> that tax avoidance processes bring about the direct and indirect tax expenses for </w:t>
      </w:r>
      <w:r w:rsidR="003E47A0" w:rsidRPr="00656CFF">
        <w:rPr>
          <w:rFonts w:asciiTheme="majorBidi" w:hAnsiTheme="majorBidi" w:cstheme="majorBidi"/>
          <w:sz w:val="24"/>
          <w:szCs w:val="24"/>
          <w:highlight w:val="yellow"/>
        </w:rPr>
        <w:t>the corporates</w:t>
      </w:r>
      <w:r w:rsidR="00973107" w:rsidRPr="00656CFF">
        <w:rPr>
          <w:rFonts w:asciiTheme="majorBidi" w:hAnsiTheme="majorBidi" w:cstheme="majorBidi"/>
          <w:sz w:val="24"/>
          <w:szCs w:val="24"/>
          <w:highlight w:val="yellow"/>
        </w:rPr>
        <w:t xml:space="preserve"> including the economically material fines, interest, and penalties that the internal revenue service can impose for under-reporting. </w:t>
      </w:r>
      <w:r w:rsidRPr="00656CFF">
        <w:rPr>
          <w:rFonts w:asciiTheme="majorBidi" w:hAnsiTheme="majorBidi" w:cstheme="majorBidi"/>
          <w:sz w:val="24"/>
          <w:szCs w:val="24"/>
          <w:highlight w:val="yellow"/>
        </w:rPr>
        <w:t xml:space="preserve"> </w:t>
      </w:r>
      <w:r w:rsidR="00597782" w:rsidRPr="00656CFF">
        <w:rPr>
          <w:rFonts w:asciiTheme="majorBidi" w:hAnsiTheme="majorBidi" w:cstheme="majorBidi"/>
          <w:sz w:val="24"/>
          <w:szCs w:val="24"/>
          <w:highlight w:val="yellow"/>
        </w:rPr>
        <w:t xml:space="preserve">Considering </w:t>
      </w:r>
      <w:r w:rsidR="008E6956" w:rsidRPr="00656CFF">
        <w:rPr>
          <w:rFonts w:asciiTheme="majorBidi" w:hAnsiTheme="majorBidi" w:cstheme="majorBidi"/>
          <w:sz w:val="24"/>
          <w:szCs w:val="24"/>
          <w:highlight w:val="yellow"/>
        </w:rPr>
        <w:t>the</w:t>
      </w:r>
      <w:r w:rsidRPr="00656CFF">
        <w:rPr>
          <w:rFonts w:asciiTheme="majorBidi" w:hAnsiTheme="majorBidi" w:cstheme="majorBidi"/>
          <w:sz w:val="24"/>
          <w:szCs w:val="24"/>
          <w:highlight w:val="yellow"/>
        </w:rPr>
        <w:t xml:space="preserve"> ownership is separated from </w:t>
      </w:r>
      <w:r w:rsidR="002D4984" w:rsidRPr="00656CFF">
        <w:rPr>
          <w:rFonts w:asciiTheme="majorBidi" w:hAnsiTheme="majorBidi" w:cstheme="majorBidi"/>
          <w:sz w:val="24"/>
          <w:szCs w:val="24"/>
          <w:highlight w:val="yellow"/>
        </w:rPr>
        <w:t xml:space="preserve">management </w:t>
      </w:r>
      <w:r w:rsidRPr="00656CFF">
        <w:rPr>
          <w:rFonts w:asciiTheme="majorBidi" w:hAnsiTheme="majorBidi" w:cstheme="majorBidi"/>
          <w:sz w:val="24"/>
          <w:szCs w:val="24"/>
          <w:highlight w:val="yellow"/>
        </w:rPr>
        <w:t xml:space="preserve">within the structure of agency theory, tax avoidance fades the corporate`s clarity which provides an opportunity for the managers to take personal </w:t>
      </w:r>
      <w:r w:rsidR="00886AFD" w:rsidRPr="00656CFF">
        <w:rPr>
          <w:rFonts w:asciiTheme="majorBidi" w:hAnsiTheme="majorBidi" w:cstheme="majorBidi"/>
          <w:sz w:val="24"/>
          <w:szCs w:val="24"/>
          <w:highlight w:val="yellow"/>
        </w:rPr>
        <w:t xml:space="preserve">benefits </w:t>
      </w:r>
      <w:r w:rsidRPr="00656CFF">
        <w:rPr>
          <w:rFonts w:asciiTheme="majorBidi" w:hAnsiTheme="majorBidi" w:cstheme="majorBidi"/>
          <w:sz w:val="24"/>
          <w:szCs w:val="24"/>
          <w:highlight w:val="yellow"/>
        </w:rPr>
        <w:t xml:space="preserve">of free cash flow (Chen </w:t>
      </w:r>
      <w:r w:rsidR="00BB60ED" w:rsidRPr="00656CFF">
        <w:rPr>
          <w:rFonts w:asciiTheme="majorBidi" w:hAnsiTheme="majorBidi" w:cstheme="majorBidi"/>
          <w:sz w:val="24"/>
          <w:szCs w:val="24"/>
          <w:highlight w:val="yellow"/>
        </w:rPr>
        <w:t>et al</w:t>
      </w:r>
      <w:r w:rsidRPr="00656CFF">
        <w:rPr>
          <w:rFonts w:asciiTheme="majorBidi" w:hAnsiTheme="majorBidi" w:cstheme="majorBidi"/>
          <w:sz w:val="24"/>
          <w:szCs w:val="24"/>
          <w:highlight w:val="yellow"/>
        </w:rPr>
        <w:t>, 2014)</w:t>
      </w:r>
      <w:r w:rsidR="00682D01" w:rsidRPr="00656CFF">
        <w:rPr>
          <w:rFonts w:asciiTheme="majorBidi" w:hAnsiTheme="majorBidi" w:cstheme="majorBidi"/>
          <w:sz w:val="24"/>
          <w:szCs w:val="24"/>
          <w:highlight w:val="yellow"/>
        </w:rPr>
        <w:t>;</w:t>
      </w:r>
      <w:r w:rsidRPr="00656CFF">
        <w:rPr>
          <w:rFonts w:asciiTheme="majorBidi" w:hAnsiTheme="majorBidi" w:cstheme="majorBidi"/>
          <w:sz w:val="24"/>
          <w:szCs w:val="24"/>
          <w:highlight w:val="yellow"/>
        </w:rPr>
        <w:t xml:space="preserve"> also, it raises the conflict between the owners and the managers (</w:t>
      </w:r>
      <w:hyperlink w:anchor="w76" w:history="1">
        <w:r w:rsidR="000D60FC" w:rsidRPr="00656CFF">
          <w:rPr>
            <w:rStyle w:val="Hyperlink"/>
            <w:rFonts w:asciiTheme="majorBidi" w:hAnsiTheme="majorBidi" w:cstheme="majorBidi"/>
            <w:sz w:val="24"/>
            <w:szCs w:val="24"/>
            <w:highlight w:val="yellow"/>
          </w:rPr>
          <w:t xml:space="preserve">Bushman </w:t>
        </w:r>
        <w:r w:rsidR="009E5D9C" w:rsidRPr="00656CFF">
          <w:rPr>
            <w:rStyle w:val="Hyperlink"/>
            <w:rFonts w:asciiTheme="majorBidi" w:hAnsiTheme="majorBidi" w:cstheme="majorBidi"/>
            <w:sz w:val="24"/>
            <w:szCs w:val="24"/>
            <w:highlight w:val="yellow"/>
          </w:rPr>
          <w:t>&amp;</w:t>
        </w:r>
        <w:r w:rsidR="000D60FC" w:rsidRPr="00656CFF">
          <w:rPr>
            <w:rStyle w:val="Hyperlink"/>
            <w:rFonts w:asciiTheme="majorBidi" w:hAnsiTheme="majorBidi" w:cstheme="majorBidi"/>
            <w:sz w:val="24"/>
            <w:szCs w:val="24"/>
            <w:highlight w:val="yellow"/>
          </w:rPr>
          <w:t xml:space="preserve"> Smith</w:t>
        </w:r>
        <w:r w:rsidRPr="00656CFF">
          <w:rPr>
            <w:rStyle w:val="Hyperlink"/>
            <w:rFonts w:asciiTheme="majorBidi" w:hAnsiTheme="majorBidi" w:cstheme="majorBidi"/>
            <w:sz w:val="24"/>
            <w:szCs w:val="24"/>
            <w:highlight w:val="yellow"/>
          </w:rPr>
          <w:t>,2001</w:t>
        </w:r>
      </w:hyperlink>
      <w:r w:rsidRPr="00656CFF">
        <w:rPr>
          <w:rFonts w:asciiTheme="majorBidi" w:hAnsiTheme="majorBidi" w:cstheme="majorBidi"/>
          <w:sz w:val="24"/>
          <w:szCs w:val="24"/>
          <w:highlight w:val="yellow"/>
        </w:rPr>
        <w:t>).</w:t>
      </w:r>
    </w:p>
    <w:p w14:paraId="7720275D" w14:textId="1D89F88C" w:rsidR="002C00C4" w:rsidRPr="00656CFF" w:rsidRDefault="007021F1" w:rsidP="001902FD">
      <w:pPr>
        <w:jc w:val="both"/>
        <w:rPr>
          <w:rFonts w:asciiTheme="majorBidi" w:hAnsiTheme="majorBidi" w:cstheme="majorBidi"/>
          <w:sz w:val="24"/>
          <w:szCs w:val="24"/>
          <w:highlight w:val="yellow"/>
        </w:rPr>
      </w:pPr>
      <w:hyperlink w:anchor="w25" w:tgtFrame="_blank" w:history="1">
        <w:proofErr w:type="spellStart"/>
        <w:r w:rsidR="00E938FF" w:rsidRPr="00656CFF">
          <w:rPr>
            <w:rFonts w:asciiTheme="majorBidi" w:hAnsiTheme="majorBidi" w:cstheme="majorBidi"/>
            <w:color w:val="4A6EE0"/>
            <w:sz w:val="24"/>
            <w:szCs w:val="24"/>
            <w:highlight w:val="yellow"/>
            <w:u w:val="single"/>
          </w:rPr>
          <w:t>Balakrishnan</w:t>
        </w:r>
        <w:proofErr w:type="spellEnd"/>
        <w:r w:rsidR="00E938FF" w:rsidRPr="00656CFF">
          <w:rPr>
            <w:rFonts w:asciiTheme="majorBidi" w:hAnsiTheme="majorBidi" w:cstheme="majorBidi"/>
            <w:color w:val="4A6EE0"/>
            <w:sz w:val="24"/>
            <w:szCs w:val="24"/>
            <w:highlight w:val="yellow"/>
            <w:u w:val="single"/>
          </w:rPr>
          <w:t xml:space="preserve"> et al. (2019)</w:t>
        </w:r>
      </w:hyperlink>
      <w:r w:rsidR="00E938FF" w:rsidRPr="00656CFF">
        <w:rPr>
          <w:rFonts w:asciiTheme="majorBidi" w:hAnsiTheme="majorBidi" w:cstheme="majorBidi"/>
          <w:sz w:val="24"/>
          <w:szCs w:val="24"/>
          <w:highlight w:val="yellow"/>
        </w:rPr>
        <w:t> reported that the firm's aggressive tax behavior reduces information transparency and causes asymmetric information, leading to errors in investors' forecasting and decision-making</w:t>
      </w:r>
      <w:r w:rsidR="002C00C4" w:rsidRPr="00656CFF">
        <w:rPr>
          <w:rFonts w:asciiTheme="majorBidi" w:hAnsiTheme="majorBidi" w:cstheme="majorBidi"/>
          <w:sz w:val="24"/>
          <w:szCs w:val="24"/>
          <w:highlight w:val="yellow"/>
        </w:rPr>
        <w:t xml:space="preserve">. Auditing is </w:t>
      </w:r>
      <w:r w:rsidR="0030380B" w:rsidRPr="00656CFF">
        <w:rPr>
          <w:rFonts w:asciiTheme="majorBidi" w:hAnsiTheme="majorBidi" w:cstheme="majorBidi"/>
          <w:sz w:val="24"/>
          <w:szCs w:val="24"/>
          <w:highlight w:val="yellow"/>
        </w:rPr>
        <w:t xml:space="preserve">a </w:t>
      </w:r>
      <w:r w:rsidR="003E47A0" w:rsidRPr="00656CFF">
        <w:rPr>
          <w:rFonts w:asciiTheme="majorBidi" w:hAnsiTheme="majorBidi" w:cstheme="majorBidi"/>
          <w:sz w:val="24"/>
          <w:szCs w:val="24"/>
          <w:highlight w:val="yellow"/>
        </w:rPr>
        <w:t>tool</w:t>
      </w:r>
      <w:r w:rsidR="002C00C4" w:rsidRPr="00656CFF">
        <w:rPr>
          <w:rFonts w:asciiTheme="majorBidi" w:hAnsiTheme="majorBidi" w:cstheme="majorBidi"/>
          <w:sz w:val="24"/>
          <w:szCs w:val="24"/>
          <w:highlight w:val="yellow"/>
        </w:rPr>
        <w:t xml:space="preserve"> to certify the quality of financial statements (</w:t>
      </w:r>
      <w:hyperlink w:anchor="w78" w:history="1">
        <w:r w:rsidR="002C00C4" w:rsidRPr="00656CFF">
          <w:rPr>
            <w:rStyle w:val="Hyperlink"/>
            <w:rFonts w:asciiTheme="majorBidi" w:hAnsiTheme="majorBidi" w:cstheme="majorBidi"/>
            <w:sz w:val="24"/>
            <w:szCs w:val="24"/>
            <w:highlight w:val="yellow"/>
          </w:rPr>
          <w:t xml:space="preserve">Chen </w:t>
        </w:r>
        <w:r w:rsidR="00946046" w:rsidRPr="00656CFF">
          <w:rPr>
            <w:rStyle w:val="Hyperlink"/>
            <w:rFonts w:asciiTheme="majorBidi" w:hAnsiTheme="majorBidi" w:cstheme="majorBidi"/>
            <w:sz w:val="24"/>
            <w:szCs w:val="24"/>
            <w:highlight w:val="yellow"/>
          </w:rPr>
          <w:t>et al.</w:t>
        </w:r>
        <w:r w:rsidR="002C00C4" w:rsidRPr="00656CFF">
          <w:rPr>
            <w:rStyle w:val="Hyperlink"/>
            <w:rFonts w:asciiTheme="majorBidi" w:hAnsiTheme="majorBidi" w:cstheme="majorBidi"/>
            <w:sz w:val="24"/>
            <w:szCs w:val="24"/>
            <w:highlight w:val="yellow"/>
          </w:rPr>
          <w:t>, 2010</w:t>
        </w:r>
      </w:hyperlink>
      <w:r w:rsidR="002C00C4" w:rsidRPr="00656CFF">
        <w:rPr>
          <w:rFonts w:asciiTheme="majorBidi" w:hAnsiTheme="majorBidi" w:cstheme="majorBidi"/>
          <w:sz w:val="24"/>
          <w:szCs w:val="24"/>
          <w:highlight w:val="yellow"/>
        </w:rPr>
        <w:t>)</w:t>
      </w:r>
      <w:r w:rsidR="00696FE1" w:rsidRPr="00656CFF">
        <w:rPr>
          <w:rFonts w:asciiTheme="majorBidi" w:hAnsiTheme="majorBidi" w:cstheme="majorBidi"/>
          <w:sz w:val="24"/>
          <w:szCs w:val="24"/>
          <w:highlight w:val="yellow"/>
        </w:rPr>
        <w:t>,</w:t>
      </w:r>
      <w:r w:rsidR="002C00C4" w:rsidRPr="00656CFF">
        <w:rPr>
          <w:rFonts w:asciiTheme="majorBidi" w:hAnsiTheme="majorBidi" w:cstheme="majorBidi"/>
          <w:sz w:val="24"/>
          <w:szCs w:val="24"/>
          <w:highlight w:val="yellow"/>
        </w:rPr>
        <w:t xml:space="preserve"> and the independent audit report helps the financial statement users make the appropriate decisions. It means that </w:t>
      </w:r>
      <w:r w:rsidR="00557C33" w:rsidRPr="00656CFF">
        <w:rPr>
          <w:rFonts w:asciiTheme="majorBidi" w:hAnsiTheme="majorBidi" w:cstheme="majorBidi"/>
          <w:sz w:val="24"/>
          <w:szCs w:val="24"/>
          <w:highlight w:val="yellow"/>
        </w:rPr>
        <w:t xml:space="preserve">via </w:t>
      </w:r>
      <w:r w:rsidR="002C00C4" w:rsidRPr="00656CFF">
        <w:rPr>
          <w:rFonts w:asciiTheme="majorBidi" w:hAnsiTheme="majorBidi" w:cstheme="majorBidi"/>
          <w:sz w:val="24"/>
          <w:szCs w:val="24"/>
          <w:highlight w:val="yellow"/>
        </w:rPr>
        <w:t>an unmodified audit report, the audit claims that all accounting standards were followed. Hence, the validity of financial sta</w:t>
      </w:r>
      <w:r w:rsidR="00886AFD" w:rsidRPr="00656CFF">
        <w:rPr>
          <w:rFonts w:asciiTheme="majorBidi" w:hAnsiTheme="majorBidi" w:cstheme="majorBidi"/>
          <w:sz w:val="24"/>
          <w:szCs w:val="24"/>
          <w:highlight w:val="yellow"/>
        </w:rPr>
        <w:t>tements is raised in this way (</w:t>
      </w:r>
      <w:hyperlink w:anchor="W79" w:history="1">
        <w:r w:rsidR="00886AFD" w:rsidRPr="00656CFF">
          <w:rPr>
            <w:rStyle w:val="Hyperlink"/>
            <w:rFonts w:asciiTheme="majorBidi" w:hAnsiTheme="majorBidi" w:cstheme="majorBidi"/>
            <w:sz w:val="24"/>
            <w:szCs w:val="24"/>
            <w:highlight w:val="yellow"/>
          </w:rPr>
          <w:t>A</w:t>
        </w:r>
        <w:r w:rsidR="002C00C4" w:rsidRPr="00656CFF">
          <w:rPr>
            <w:rStyle w:val="Hyperlink"/>
            <w:rFonts w:asciiTheme="majorBidi" w:hAnsiTheme="majorBidi" w:cstheme="majorBidi"/>
            <w:sz w:val="24"/>
            <w:szCs w:val="24"/>
            <w:highlight w:val="yellow"/>
          </w:rPr>
          <w:t xml:space="preserve">bad </w:t>
        </w:r>
        <w:r w:rsidR="001C0E02" w:rsidRPr="00656CFF">
          <w:rPr>
            <w:rStyle w:val="Hyperlink"/>
            <w:rFonts w:asciiTheme="majorBidi" w:hAnsiTheme="majorBidi" w:cstheme="majorBidi"/>
            <w:sz w:val="24"/>
            <w:szCs w:val="24"/>
            <w:highlight w:val="yellow"/>
          </w:rPr>
          <w:t>et al.</w:t>
        </w:r>
        <w:r w:rsidR="002C00C4" w:rsidRPr="00656CFF">
          <w:rPr>
            <w:rStyle w:val="Hyperlink"/>
            <w:rFonts w:asciiTheme="majorBidi" w:hAnsiTheme="majorBidi" w:cstheme="majorBidi"/>
            <w:sz w:val="24"/>
            <w:szCs w:val="24"/>
            <w:highlight w:val="yellow"/>
          </w:rPr>
          <w:t>, 2017</w:t>
        </w:r>
      </w:hyperlink>
      <w:r w:rsidR="002C00C4" w:rsidRPr="00656CFF">
        <w:rPr>
          <w:rFonts w:asciiTheme="majorBidi" w:hAnsiTheme="majorBidi" w:cstheme="majorBidi"/>
          <w:sz w:val="24"/>
          <w:szCs w:val="24"/>
          <w:highlight w:val="yellow"/>
        </w:rPr>
        <w:t xml:space="preserve">). The theoretical foundations show that there is </w:t>
      </w:r>
      <w:r w:rsidR="00001AB5" w:rsidRPr="00656CFF">
        <w:rPr>
          <w:rFonts w:asciiTheme="majorBidi" w:hAnsiTheme="majorBidi" w:cstheme="majorBidi"/>
          <w:sz w:val="24"/>
          <w:szCs w:val="24"/>
          <w:highlight w:val="yellow"/>
        </w:rPr>
        <w:t xml:space="preserve">an </w:t>
      </w:r>
      <w:r w:rsidR="002839E6" w:rsidRPr="00656CFF">
        <w:rPr>
          <w:rFonts w:asciiTheme="majorBidi" w:hAnsiTheme="majorBidi" w:cstheme="majorBidi"/>
          <w:sz w:val="24"/>
          <w:szCs w:val="24"/>
          <w:highlight w:val="yellow"/>
        </w:rPr>
        <w:t xml:space="preserve">endogenous </w:t>
      </w:r>
      <w:r w:rsidR="002C00C4" w:rsidRPr="00656CFF">
        <w:rPr>
          <w:rFonts w:asciiTheme="majorBidi" w:hAnsiTheme="majorBidi" w:cstheme="majorBidi"/>
          <w:sz w:val="24"/>
          <w:szCs w:val="24"/>
          <w:highlight w:val="yellow"/>
        </w:rPr>
        <w:t>relationship between tax avoidance and audit report.</w:t>
      </w:r>
    </w:p>
    <w:p w14:paraId="7D67EEC2" w14:textId="57B3C7B6" w:rsidR="00C63C63" w:rsidRPr="0038318D" w:rsidRDefault="002C00C4" w:rsidP="00565152">
      <w:pPr>
        <w:jc w:val="both"/>
        <w:rPr>
          <w:rFonts w:asciiTheme="majorBidi" w:hAnsiTheme="majorBidi" w:cstheme="majorBidi"/>
          <w:sz w:val="24"/>
          <w:szCs w:val="24"/>
          <w:highlight w:val="yellow"/>
        </w:rPr>
      </w:pPr>
      <w:r w:rsidRPr="0038318D">
        <w:rPr>
          <w:rFonts w:asciiTheme="majorBidi" w:hAnsiTheme="majorBidi" w:cstheme="majorBidi"/>
          <w:sz w:val="24"/>
          <w:szCs w:val="24"/>
          <w:highlight w:val="yellow"/>
        </w:rPr>
        <w:lastRenderedPageBreak/>
        <w:t xml:space="preserve">Opinions issued by </w:t>
      </w:r>
      <w:r w:rsidR="00ED2824" w:rsidRPr="0038318D">
        <w:rPr>
          <w:rFonts w:asciiTheme="majorBidi" w:hAnsiTheme="majorBidi" w:cstheme="majorBidi"/>
          <w:sz w:val="24"/>
          <w:szCs w:val="24"/>
          <w:highlight w:val="yellow"/>
        </w:rPr>
        <w:t xml:space="preserve">the </w:t>
      </w:r>
      <w:r w:rsidRPr="0038318D">
        <w:rPr>
          <w:rFonts w:asciiTheme="majorBidi" w:hAnsiTheme="majorBidi" w:cstheme="majorBidi"/>
          <w:sz w:val="24"/>
          <w:szCs w:val="24"/>
          <w:highlight w:val="yellow"/>
        </w:rPr>
        <w:t>external auditor will have an impact on stakeholders</w:t>
      </w:r>
      <w:r w:rsidR="00A61BD6" w:rsidRPr="0038318D">
        <w:rPr>
          <w:rFonts w:asciiTheme="majorBidi" w:hAnsiTheme="majorBidi" w:cstheme="majorBidi"/>
          <w:sz w:val="24"/>
          <w:szCs w:val="24"/>
          <w:highlight w:val="yellow"/>
        </w:rPr>
        <w:t>,</w:t>
      </w:r>
      <w:r w:rsidRPr="0038318D">
        <w:rPr>
          <w:rFonts w:asciiTheme="majorBidi" w:hAnsiTheme="majorBidi" w:cstheme="majorBidi"/>
          <w:sz w:val="24"/>
          <w:szCs w:val="24"/>
          <w:highlight w:val="yellow"/>
        </w:rPr>
        <w:t xml:space="preserve"> including company management so that the higher the quality of audit process, the management will think a lot about carrying out transactions or activities </w:t>
      </w:r>
      <w:r w:rsidR="00672123" w:rsidRPr="0038318D">
        <w:rPr>
          <w:rFonts w:asciiTheme="majorBidi" w:hAnsiTheme="majorBidi" w:cstheme="majorBidi"/>
          <w:sz w:val="24"/>
          <w:szCs w:val="24"/>
          <w:highlight w:val="yellow"/>
        </w:rPr>
        <w:t xml:space="preserve">which </w:t>
      </w:r>
      <w:r w:rsidRPr="0038318D">
        <w:rPr>
          <w:rFonts w:asciiTheme="majorBidi" w:hAnsiTheme="majorBidi" w:cstheme="majorBidi"/>
          <w:sz w:val="24"/>
          <w:szCs w:val="24"/>
          <w:highlight w:val="yellow"/>
        </w:rPr>
        <w:t>will harm the company including tax avoidance which has a chance of incurring tax fines in the future</w:t>
      </w:r>
      <w:r w:rsidR="00D83D11" w:rsidRPr="0038318D">
        <w:rPr>
          <w:rFonts w:asciiTheme="majorBidi" w:hAnsiTheme="majorBidi" w:cstheme="majorBidi"/>
          <w:sz w:val="24"/>
          <w:szCs w:val="24"/>
          <w:highlight w:val="yellow"/>
        </w:rPr>
        <w:t xml:space="preserve"> (</w:t>
      </w:r>
      <w:proofErr w:type="spellStart"/>
      <w:r w:rsidR="008C53F0" w:rsidRPr="0038318D">
        <w:rPr>
          <w:highlight w:val="yellow"/>
        </w:rPr>
        <w:fldChar w:fldCharType="begin"/>
      </w:r>
      <w:r w:rsidR="008C53F0" w:rsidRPr="0038318D">
        <w:rPr>
          <w:highlight w:val="yellow"/>
        </w:rPr>
        <w:instrText xml:space="preserve"> HYPERLINK \l "w77" </w:instrText>
      </w:r>
      <w:r w:rsidR="008C53F0" w:rsidRPr="0038318D">
        <w:rPr>
          <w:highlight w:val="yellow"/>
        </w:rPr>
        <w:fldChar w:fldCharType="separate"/>
      </w:r>
      <w:r w:rsidR="00D83D11" w:rsidRPr="0038318D">
        <w:rPr>
          <w:rStyle w:val="Hyperlink"/>
          <w:rFonts w:asciiTheme="majorBidi" w:hAnsiTheme="majorBidi" w:cstheme="majorBidi"/>
          <w:sz w:val="24"/>
          <w:szCs w:val="24"/>
          <w:highlight w:val="yellow"/>
        </w:rPr>
        <w:t>Tarmidi</w:t>
      </w:r>
      <w:proofErr w:type="spellEnd"/>
      <w:r w:rsidR="00D83D11" w:rsidRPr="0038318D">
        <w:rPr>
          <w:rStyle w:val="Hyperlink"/>
          <w:rFonts w:asciiTheme="majorBidi" w:hAnsiTheme="majorBidi" w:cstheme="majorBidi"/>
          <w:sz w:val="24"/>
          <w:szCs w:val="24"/>
          <w:highlight w:val="yellow"/>
        </w:rPr>
        <w:t xml:space="preserve"> </w:t>
      </w:r>
      <w:r w:rsidR="00366306" w:rsidRPr="0038318D">
        <w:rPr>
          <w:rStyle w:val="Hyperlink"/>
          <w:rFonts w:asciiTheme="majorBidi" w:hAnsiTheme="majorBidi" w:cstheme="majorBidi"/>
          <w:sz w:val="24"/>
          <w:szCs w:val="24"/>
          <w:highlight w:val="yellow"/>
        </w:rPr>
        <w:t>et al.,</w:t>
      </w:r>
      <w:r w:rsidR="00D83D11" w:rsidRPr="0038318D">
        <w:rPr>
          <w:rStyle w:val="Hyperlink"/>
          <w:rFonts w:asciiTheme="majorBidi" w:hAnsiTheme="majorBidi" w:cstheme="majorBidi"/>
          <w:sz w:val="24"/>
          <w:szCs w:val="24"/>
          <w:highlight w:val="yellow"/>
        </w:rPr>
        <w:t xml:space="preserve"> 2020</w:t>
      </w:r>
      <w:r w:rsidR="008C53F0" w:rsidRPr="0038318D">
        <w:rPr>
          <w:rStyle w:val="Hyperlink"/>
          <w:rFonts w:asciiTheme="majorBidi" w:hAnsiTheme="majorBidi" w:cstheme="majorBidi"/>
          <w:sz w:val="24"/>
          <w:szCs w:val="24"/>
          <w:highlight w:val="yellow"/>
        </w:rPr>
        <w:fldChar w:fldCharType="end"/>
      </w:r>
      <w:r w:rsidR="00D83D11" w:rsidRPr="0038318D">
        <w:rPr>
          <w:rFonts w:asciiTheme="majorBidi" w:hAnsiTheme="majorBidi" w:cstheme="majorBidi"/>
          <w:sz w:val="24"/>
          <w:szCs w:val="24"/>
          <w:highlight w:val="yellow"/>
        </w:rPr>
        <w:t>)</w:t>
      </w:r>
      <w:r w:rsidRPr="0038318D">
        <w:rPr>
          <w:rFonts w:asciiTheme="majorBidi" w:hAnsiTheme="majorBidi" w:cstheme="majorBidi"/>
          <w:sz w:val="24"/>
          <w:szCs w:val="24"/>
          <w:highlight w:val="yellow"/>
        </w:rPr>
        <w:t>.</w:t>
      </w:r>
      <w:r w:rsidR="00C63C63" w:rsidRPr="0038318D">
        <w:rPr>
          <w:rFonts w:asciiTheme="majorBidi" w:hAnsiTheme="majorBidi" w:cstheme="majorBidi"/>
          <w:sz w:val="24"/>
          <w:szCs w:val="24"/>
          <w:highlight w:val="yellow"/>
        </w:rPr>
        <w:t xml:space="preserve"> On the other hand, tax avoidance makes the information different from the reality </w:t>
      </w:r>
      <w:r w:rsidR="003E10B4" w:rsidRPr="0038318D">
        <w:rPr>
          <w:rFonts w:asciiTheme="majorBidi" w:hAnsiTheme="majorBidi" w:cstheme="majorBidi"/>
          <w:sz w:val="24"/>
          <w:szCs w:val="24"/>
          <w:highlight w:val="yellow"/>
        </w:rPr>
        <w:t xml:space="preserve">which </w:t>
      </w:r>
      <w:r w:rsidR="00C63C63" w:rsidRPr="0038318D">
        <w:rPr>
          <w:rFonts w:asciiTheme="majorBidi" w:hAnsiTheme="majorBidi" w:cstheme="majorBidi"/>
          <w:sz w:val="24"/>
          <w:szCs w:val="24"/>
          <w:highlight w:val="yellow"/>
        </w:rPr>
        <w:t xml:space="preserve">was published by the manager </w:t>
      </w:r>
      <w:r w:rsidR="00B33EEC" w:rsidRPr="0038318D">
        <w:rPr>
          <w:rFonts w:asciiTheme="majorBidi" w:hAnsiTheme="majorBidi" w:cstheme="majorBidi"/>
          <w:sz w:val="24"/>
          <w:szCs w:val="24"/>
          <w:highlight w:val="yellow"/>
        </w:rPr>
        <w:t xml:space="preserve">via </w:t>
      </w:r>
      <w:r w:rsidR="00C63C63" w:rsidRPr="0038318D">
        <w:rPr>
          <w:rFonts w:asciiTheme="majorBidi" w:hAnsiTheme="majorBidi" w:cstheme="majorBidi"/>
          <w:sz w:val="24"/>
          <w:szCs w:val="24"/>
          <w:highlight w:val="yellow"/>
        </w:rPr>
        <w:t>the financial statements</w:t>
      </w:r>
      <w:r w:rsidR="00FD01E8" w:rsidRPr="0038318D">
        <w:rPr>
          <w:rFonts w:asciiTheme="majorBidi" w:hAnsiTheme="majorBidi" w:cstheme="majorBidi"/>
          <w:sz w:val="24"/>
          <w:szCs w:val="24"/>
          <w:highlight w:val="yellow"/>
        </w:rPr>
        <w:t xml:space="preserve">; hence, </w:t>
      </w:r>
      <w:r w:rsidR="00C63C63" w:rsidRPr="0038318D">
        <w:rPr>
          <w:rFonts w:asciiTheme="majorBidi" w:hAnsiTheme="majorBidi" w:cstheme="majorBidi"/>
          <w:sz w:val="24"/>
          <w:szCs w:val="24"/>
          <w:highlight w:val="yellow"/>
        </w:rPr>
        <w:t xml:space="preserve">it increases the risk of financial information manipulation. Under such circumstances, the audit would have more likely to detect the distortions and to identify the wrong information. In the absence of empirical evidence, the article tries to evaluate the relationship </w:t>
      </w:r>
      <w:r w:rsidR="00565152" w:rsidRPr="0038318D">
        <w:rPr>
          <w:rFonts w:asciiTheme="majorBidi" w:hAnsiTheme="majorBidi" w:cstheme="majorBidi"/>
          <w:sz w:val="24"/>
          <w:szCs w:val="24"/>
          <w:highlight w:val="yellow"/>
        </w:rPr>
        <w:t xml:space="preserve">via </w:t>
      </w:r>
      <w:r w:rsidR="00C63C63" w:rsidRPr="0038318D">
        <w:rPr>
          <w:rFonts w:asciiTheme="majorBidi" w:hAnsiTheme="majorBidi" w:cstheme="majorBidi"/>
          <w:sz w:val="24"/>
          <w:szCs w:val="24"/>
          <w:highlight w:val="yellow"/>
        </w:rPr>
        <w:t>the following hypothesis:</w:t>
      </w:r>
    </w:p>
    <w:p w14:paraId="01DD5F7A" w14:textId="5C230949" w:rsidR="002C00C4" w:rsidRPr="00341756" w:rsidRDefault="00C63C63" w:rsidP="00246E1F">
      <w:pPr>
        <w:jc w:val="both"/>
        <w:rPr>
          <w:rFonts w:asciiTheme="majorBidi" w:hAnsiTheme="majorBidi" w:cstheme="majorBidi"/>
          <w:i/>
          <w:iCs/>
          <w:sz w:val="24"/>
          <w:szCs w:val="24"/>
        </w:rPr>
      </w:pPr>
      <w:r w:rsidRPr="0038318D">
        <w:rPr>
          <w:rFonts w:asciiTheme="majorBidi" w:hAnsiTheme="majorBidi" w:cstheme="majorBidi"/>
          <w:i/>
          <w:iCs/>
          <w:sz w:val="24"/>
          <w:szCs w:val="24"/>
          <w:highlight w:val="yellow"/>
        </w:rPr>
        <w:t>H1: tax avoidance has a positive effect on the auditor</w:t>
      </w:r>
      <w:r w:rsidR="00C00F91" w:rsidRPr="0038318D">
        <w:rPr>
          <w:rFonts w:asciiTheme="majorBidi" w:hAnsiTheme="majorBidi" w:cstheme="majorBidi"/>
          <w:i/>
          <w:iCs/>
          <w:sz w:val="24"/>
          <w:szCs w:val="24"/>
          <w:highlight w:val="yellow"/>
        </w:rPr>
        <w:t>'s</w:t>
      </w:r>
      <w:r w:rsidRPr="0038318D">
        <w:rPr>
          <w:rFonts w:asciiTheme="majorBidi" w:hAnsiTheme="majorBidi" w:cstheme="majorBidi"/>
          <w:i/>
          <w:iCs/>
          <w:sz w:val="24"/>
          <w:szCs w:val="24"/>
          <w:highlight w:val="yellow"/>
        </w:rPr>
        <w:t xml:space="preserve"> opinion.</w:t>
      </w:r>
    </w:p>
    <w:p w14:paraId="665F07FB" w14:textId="2CBECD2E" w:rsidR="00015348" w:rsidRPr="00341756" w:rsidRDefault="00015348" w:rsidP="009D6737">
      <w:pPr>
        <w:jc w:val="both"/>
        <w:rPr>
          <w:rFonts w:asciiTheme="majorBidi" w:hAnsiTheme="majorBidi" w:cstheme="majorBidi"/>
          <w:sz w:val="24"/>
          <w:szCs w:val="24"/>
        </w:rPr>
      </w:pPr>
      <w:r w:rsidRPr="00341756">
        <w:rPr>
          <w:rFonts w:asciiTheme="majorBidi" w:hAnsiTheme="majorBidi" w:cstheme="majorBidi"/>
          <w:sz w:val="24"/>
          <w:szCs w:val="24"/>
        </w:rPr>
        <w:t xml:space="preserve">The frequent and unexpected changes in the macroeconomic policies create market fluctuations and uncertainty in the business environment. Consequently, </w:t>
      </w:r>
      <w:r w:rsidR="009D6737">
        <w:rPr>
          <w:rFonts w:asciiTheme="majorBidi" w:hAnsiTheme="majorBidi" w:cstheme="majorBidi"/>
          <w:sz w:val="24"/>
          <w:szCs w:val="24"/>
        </w:rPr>
        <w:t>it</w:t>
      </w:r>
      <w:r w:rsidR="009D6737" w:rsidRPr="00341756">
        <w:rPr>
          <w:rFonts w:asciiTheme="majorBidi" w:hAnsiTheme="majorBidi" w:cstheme="majorBidi"/>
          <w:sz w:val="24"/>
          <w:szCs w:val="24"/>
        </w:rPr>
        <w:t xml:space="preserve"> </w:t>
      </w:r>
      <w:r w:rsidRPr="00341756">
        <w:rPr>
          <w:rFonts w:asciiTheme="majorBidi" w:hAnsiTheme="majorBidi" w:cstheme="majorBidi"/>
          <w:sz w:val="24"/>
          <w:szCs w:val="24"/>
        </w:rPr>
        <w:t>affects the investors' behavior (</w:t>
      </w:r>
      <w:proofErr w:type="spellStart"/>
      <w:r w:rsidRPr="00341756">
        <w:rPr>
          <w:rFonts w:asciiTheme="majorBidi" w:hAnsiTheme="majorBidi" w:cstheme="majorBidi"/>
          <w:sz w:val="24"/>
          <w:szCs w:val="24"/>
        </w:rPr>
        <w:t>Borio</w:t>
      </w:r>
      <w:proofErr w:type="spellEnd"/>
      <w:r w:rsidRPr="00341756">
        <w:rPr>
          <w:rFonts w:asciiTheme="majorBidi" w:hAnsiTheme="majorBidi" w:cstheme="majorBidi"/>
          <w:sz w:val="24"/>
          <w:szCs w:val="24"/>
        </w:rPr>
        <w:t xml:space="preserve"> &amp; Zhu, 2012) and the economic growth levels (Baker et al., 2016). Investors are usually worried about uncertainty </w:t>
      </w:r>
      <w:r w:rsidR="00FE4B65">
        <w:rPr>
          <w:rFonts w:asciiTheme="majorBidi" w:hAnsiTheme="majorBidi" w:cstheme="majorBidi"/>
          <w:sz w:val="24"/>
          <w:szCs w:val="24"/>
        </w:rPr>
        <w:t>which are</w:t>
      </w:r>
      <w:r w:rsidR="00FE4B65" w:rsidRPr="00341756">
        <w:rPr>
          <w:rFonts w:asciiTheme="majorBidi" w:hAnsiTheme="majorBidi" w:cstheme="majorBidi"/>
          <w:sz w:val="24"/>
          <w:szCs w:val="24"/>
        </w:rPr>
        <w:t xml:space="preserve"> </w:t>
      </w:r>
      <w:r w:rsidRPr="00341756">
        <w:rPr>
          <w:rFonts w:asciiTheme="majorBidi" w:hAnsiTheme="majorBidi" w:cstheme="majorBidi"/>
          <w:sz w:val="24"/>
          <w:szCs w:val="24"/>
        </w:rPr>
        <w:t>affected by the auditor's opinion (</w:t>
      </w:r>
      <w:proofErr w:type="spellStart"/>
      <w:r w:rsidRPr="00341756">
        <w:rPr>
          <w:rFonts w:asciiTheme="majorBidi" w:hAnsiTheme="majorBidi" w:cstheme="majorBidi"/>
          <w:sz w:val="24"/>
          <w:szCs w:val="24"/>
        </w:rPr>
        <w:t>Ianniello</w:t>
      </w:r>
      <w:proofErr w:type="spellEnd"/>
      <w:r w:rsidRPr="00341756">
        <w:rPr>
          <w:rFonts w:asciiTheme="majorBidi" w:hAnsiTheme="majorBidi" w:cstheme="majorBidi"/>
          <w:sz w:val="24"/>
          <w:szCs w:val="24"/>
        </w:rPr>
        <w:t xml:space="preserve"> &amp; </w:t>
      </w:r>
      <w:proofErr w:type="spellStart"/>
      <w:r w:rsidRPr="00341756">
        <w:rPr>
          <w:rFonts w:asciiTheme="majorBidi" w:hAnsiTheme="majorBidi" w:cstheme="majorBidi"/>
          <w:sz w:val="24"/>
          <w:szCs w:val="24"/>
        </w:rPr>
        <w:t>Galloppo</w:t>
      </w:r>
      <w:proofErr w:type="spellEnd"/>
      <w:r w:rsidRPr="00341756">
        <w:rPr>
          <w:rFonts w:asciiTheme="majorBidi" w:hAnsiTheme="majorBidi" w:cstheme="majorBidi"/>
          <w:sz w:val="24"/>
          <w:szCs w:val="24"/>
        </w:rPr>
        <w:t xml:space="preserve">, 2015) and make their decisions accordingly. </w:t>
      </w:r>
    </w:p>
    <w:p w14:paraId="76B62E4A" w14:textId="33BFAC7C" w:rsidR="00006341" w:rsidRPr="00341756" w:rsidRDefault="00015348" w:rsidP="00D41A14">
      <w:pPr>
        <w:jc w:val="both"/>
        <w:rPr>
          <w:rFonts w:asciiTheme="majorBidi" w:hAnsiTheme="majorBidi" w:cstheme="majorBidi"/>
          <w:sz w:val="24"/>
          <w:szCs w:val="24"/>
        </w:rPr>
      </w:pPr>
      <w:r w:rsidRPr="00341756">
        <w:rPr>
          <w:rFonts w:asciiTheme="majorBidi" w:hAnsiTheme="majorBidi" w:cstheme="majorBidi"/>
          <w:sz w:val="24"/>
          <w:szCs w:val="24"/>
        </w:rPr>
        <w:t xml:space="preserve">Some studies reported that market uncertainty could be a reason for tax avoidance which reduces the company's effective tax rate and </w:t>
      </w:r>
      <w:r w:rsidR="00524215">
        <w:rPr>
          <w:rFonts w:asciiTheme="majorBidi" w:hAnsiTheme="majorBidi" w:cstheme="majorBidi"/>
          <w:sz w:val="24"/>
          <w:szCs w:val="24"/>
        </w:rPr>
        <w:t>lowers</w:t>
      </w:r>
      <w:r w:rsidR="00524215"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their tax payment (Duong et al., 2017; Dang et al., 2019). </w:t>
      </w:r>
      <w:r w:rsidR="00006341" w:rsidRPr="00341756">
        <w:rPr>
          <w:rFonts w:asciiTheme="majorBidi" w:hAnsiTheme="majorBidi" w:cstheme="majorBidi"/>
          <w:sz w:val="24"/>
          <w:szCs w:val="24"/>
        </w:rPr>
        <w:t xml:space="preserve">Iran is ranked 79 among 80 countries in Performance Ranking and Economic Conditions by the Global Bank in 2019. During the last forty years, Iran has experienced several waves of economic pressure. The current situation is unique; the recent government political actions in the region caused the deactivation of Nuclear Agreement. Iranians are now blaming their government for the intense economic pressure from the US. Consequently, uncertainty has dominated the Iranian economy, and the stock market has been profoundly affected. All firms became under financial distress and bankruptcy risk. With the pressure of cash </w:t>
      </w:r>
      <w:r w:rsidR="00B83C3E">
        <w:rPr>
          <w:rFonts w:asciiTheme="majorBidi" w:hAnsiTheme="majorBidi" w:cstheme="majorBidi"/>
          <w:sz w:val="24"/>
          <w:szCs w:val="24"/>
        </w:rPr>
        <w:t>exits</w:t>
      </w:r>
      <w:r w:rsidR="00006341" w:rsidRPr="00341756">
        <w:rPr>
          <w:rFonts w:asciiTheme="majorBidi" w:hAnsiTheme="majorBidi" w:cstheme="majorBidi"/>
          <w:sz w:val="24"/>
          <w:szCs w:val="24"/>
        </w:rPr>
        <w:t xml:space="preserve">, many shareholders sold their shares to prevent their losses </w:t>
      </w:r>
      <w:hyperlink w:anchor="w18" w:history="1">
        <w:r w:rsidR="008E5D26" w:rsidRPr="00341756">
          <w:rPr>
            <w:rStyle w:val="Hyperlink"/>
            <w:rFonts w:asciiTheme="majorBidi" w:hAnsiTheme="majorBidi" w:cstheme="majorBidi"/>
            <w:sz w:val="24"/>
            <w:szCs w:val="24"/>
          </w:rPr>
          <w:t>(</w:t>
        </w:r>
        <w:proofErr w:type="spellStart"/>
        <w:r w:rsidR="008E5D26" w:rsidRPr="00341756">
          <w:rPr>
            <w:rStyle w:val="Hyperlink"/>
            <w:rFonts w:asciiTheme="majorBidi" w:hAnsiTheme="majorBidi" w:cstheme="majorBidi"/>
            <w:sz w:val="24"/>
            <w:szCs w:val="24"/>
          </w:rPr>
          <w:t>Campello</w:t>
        </w:r>
        <w:proofErr w:type="spellEnd"/>
        <w:r w:rsidR="00700030" w:rsidRPr="00341756">
          <w:rPr>
            <w:rStyle w:val="Hyperlink"/>
            <w:rFonts w:asciiTheme="majorBidi" w:hAnsiTheme="majorBidi" w:cstheme="majorBidi"/>
            <w:sz w:val="24"/>
            <w:szCs w:val="24"/>
          </w:rPr>
          <w:t xml:space="preserve"> et al.</w:t>
        </w:r>
        <w:r w:rsidR="008E5D26" w:rsidRPr="00341756">
          <w:rPr>
            <w:rStyle w:val="Hyperlink"/>
            <w:rFonts w:asciiTheme="majorBidi" w:hAnsiTheme="majorBidi" w:cstheme="majorBidi"/>
            <w:sz w:val="24"/>
            <w:szCs w:val="24"/>
          </w:rPr>
          <w:t>, 2010)</w:t>
        </w:r>
      </w:hyperlink>
      <w:r w:rsidR="008E5D26" w:rsidRPr="00341756">
        <w:rPr>
          <w:rFonts w:asciiTheme="majorBidi" w:hAnsiTheme="majorBidi" w:cstheme="majorBidi"/>
          <w:sz w:val="24"/>
          <w:szCs w:val="24"/>
        </w:rPr>
        <w:t>.</w:t>
      </w:r>
    </w:p>
    <w:p w14:paraId="43F91FB9" w14:textId="435A3333" w:rsidR="00006341" w:rsidRPr="00341756" w:rsidRDefault="00006341" w:rsidP="00353DDA">
      <w:pPr>
        <w:jc w:val="both"/>
        <w:rPr>
          <w:rFonts w:asciiTheme="majorBidi" w:hAnsiTheme="majorBidi" w:cstheme="majorBidi"/>
          <w:sz w:val="24"/>
          <w:szCs w:val="24"/>
        </w:rPr>
      </w:pPr>
      <w:r w:rsidRPr="00341756">
        <w:rPr>
          <w:rFonts w:asciiTheme="majorBidi" w:hAnsiTheme="majorBidi" w:cstheme="majorBidi"/>
          <w:sz w:val="24"/>
          <w:szCs w:val="24"/>
        </w:rPr>
        <w:t xml:space="preserve">According to </w:t>
      </w:r>
      <w:hyperlink w:anchor="w13" w:history="1">
        <w:r w:rsidRPr="00341756">
          <w:rPr>
            <w:rStyle w:val="Hyperlink"/>
            <w:rFonts w:asciiTheme="majorBidi" w:hAnsiTheme="majorBidi" w:cstheme="majorBidi"/>
            <w:sz w:val="24"/>
            <w:szCs w:val="24"/>
          </w:rPr>
          <w:t>Edwards et al. (2015)</w:t>
        </w:r>
      </w:hyperlink>
      <w:r w:rsidRPr="00341756">
        <w:rPr>
          <w:rFonts w:asciiTheme="majorBidi" w:hAnsiTheme="majorBidi" w:cstheme="majorBidi"/>
          <w:sz w:val="24"/>
          <w:szCs w:val="24"/>
        </w:rPr>
        <w:t>,  the cost of capital increases during financial pressure conditions</w:t>
      </w:r>
      <w:r w:rsidR="00A17012">
        <w:rPr>
          <w:rFonts w:asciiTheme="majorBidi" w:hAnsiTheme="majorBidi" w:cstheme="majorBidi"/>
          <w:sz w:val="24"/>
          <w:szCs w:val="24"/>
        </w:rPr>
        <w:t>;</w:t>
      </w:r>
      <w:r w:rsidR="00A17012"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hence </w:t>
      </w:r>
      <w:r w:rsidR="00794406">
        <w:rPr>
          <w:rFonts w:asciiTheme="majorBidi" w:hAnsiTheme="majorBidi" w:cstheme="majorBidi"/>
          <w:sz w:val="24"/>
          <w:szCs w:val="24"/>
        </w:rPr>
        <w:t xml:space="preserve">the </w:t>
      </w:r>
      <w:r w:rsidRPr="00341756">
        <w:rPr>
          <w:rFonts w:asciiTheme="majorBidi" w:hAnsiTheme="majorBidi" w:cstheme="majorBidi"/>
          <w:sz w:val="24"/>
          <w:szCs w:val="24"/>
        </w:rPr>
        <w:t>managers may adopt tax avoidance behavior. However, tax avoidance implies a cost that offsets any benefit of cash savings (</w:t>
      </w:r>
      <w:hyperlink w:anchor="w28" w:history="1">
        <w:r w:rsidRPr="00341756">
          <w:rPr>
            <w:rStyle w:val="Hyperlink"/>
            <w:rFonts w:asciiTheme="majorBidi" w:hAnsiTheme="majorBidi" w:cstheme="majorBidi"/>
            <w:sz w:val="24"/>
            <w:szCs w:val="24"/>
          </w:rPr>
          <w:t>Lau &amp;</w:t>
        </w:r>
        <w:r w:rsidR="001D6A46" w:rsidRPr="00341756">
          <w:rPr>
            <w:rStyle w:val="Hyperlink"/>
            <w:rFonts w:asciiTheme="majorBidi" w:hAnsiTheme="majorBidi" w:cstheme="majorBidi"/>
            <w:sz w:val="24"/>
            <w:szCs w:val="24"/>
          </w:rPr>
          <w:t xml:space="preserve"> </w:t>
        </w:r>
        <w:r w:rsidRPr="00341756">
          <w:rPr>
            <w:rStyle w:val="Hyperlink"/>
            <w:rFonts w:asciiTheme="majorBidi" w:hAnsiTheme="majorBidi" w:cstheme="majorBidi"/>
            <w:sz w:val="24"/>
            <w:szCs w:val="24"/>
          </w:rPr>
          <w:t>Tong, 2008</w:t>
        </w:r>
      </w:hyperlink>
      <w:r w:rsidRPr="00341756">
        <w:rPr>
          <w:rFonts w:asciiTheme="majorBidi" w:hAnsiTheme="majorBidi" w:cstheme="majorBidi"/>
          <w:sz w:val="24"/>
          <w:szCs w:val="24"/>
        </w:rPr>
        <w:t>). One of the most significant expenses of tax avoidance is the agency cost of incorrect/ambiguous firm's valuation which misleads the shareholders and other investors' actions (</w:t>
      </w:r>
      <w:hyperlink w:anchor="w7" w:history="1">
        <w:r w:rsidR="008E5D26" w:rsidRPr="00341756">
          <w:rPr>
            <w:rStyle w:val="Hyperlink"/>
            <w:rFonts w:asciiTheme="majorBidi" w:hAnsiTheme="majorBidi" w:cstheme="majorBidi"/>
            <w:sz w:val="24"/>
            <w:szCs w:val="24"/>
          </w:rPr>
          <w:t>Chen</w:t>
        </w:r>
        <w:r w:rsidR="00700030" w:rsidRPr="00341756">
          <w:rPr>
            <w:rStyle w:val="Hyperlink"/>
            <w:rFonts w:asciiTheme="majorBidi" w:hAnsiTheme="majorBidi" w:cstheme="majorBidi"/>
            <w:sz w:val="24"/>
            <w:szCs w:val="24"/>
          </w:rPr>
          <w:t xml:space="preserve"> et al.</w:t>
        </w:r>
        <w:r w:rsidR="008E5D26" w:rsidRPr="00341756">
          <w:rPr>
            <w:rStyle w:val="Hyperlink"/>
            <w:rFonts w:asciiTheme="majorBidi" w:hAnsiTheme="majorBidi" w:cstheme="majorBidi"/>
            <w:sz w:val="24"/>
            <w:szCs w:val="24"/>
          </w:rPr>
          <w:t>, 2014</w:t>
        </w:r>
      </w:hyperlink>
      <w:r w:rsidRPr="00341756">
        <w:rPr>
          <w:rFonts w:asciiTheme="majorBidi" w:hAnsiTheme="majorBidi" w:cstheme="majorBidi"/>
          <w:sz w:val="24"/>
          <w:szCs w:val="24"/>
        </w:rPr>
        <w:t>).  If the published information does not show the real financial situation of firm and false information is given to the financial statement users, a modified opinion</w:t>
      </w:r>
      <w:r w:rsidR="003F1D4B" w:rsidRPr="00341756">
        <w:rPr>
          <w:rStyle w:val="FootnoteReference"/>
          <w:rFonts w:asciiTheme="majorBidi" w:hAnsiTheme="majorBidi" w:cstheme="majorBidi"/>
          <w:sz w:val="24"/>
          <w:szCs w:val="24"/>
        </w:rPr>
        <w:footnoteReference w:id="2"/>
      </w:r>
      <w:r w:rsidR="004067D6"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would be expected from the auditor. </w:t>
      </w:r>
      <w:r w:rsidR="002A41CB">
        <w:rPr>
          <w:rFonts w:asciiTheme="majorBidi" w:hAnsiTheme="majorBidi" w:cstheme="majorBidi"/>
          <w:sz w:val="24"/>
          <w:szCs w:val="24"/>
        </w:rPr>
        <w:t>Furthermore</w:t>
      </w:r>
      <w:r w:rsidRPr="00341756">
        <w:rPr>
          <w:rFonts w:asciiTheme="majorBidi" w:hAnsiTheme="majorBidi" w:cstheme="majorBidi"/>
          <w:sz w:val="24"/>
          <w:szCs w:val="24"/>
        </w:rPr>
        <w:t>, we test the below hypothesis:</w:t>
      </w:r>
    </w:p>
    <w:p w14:paraId="4742DDFD" w14:textId="7E9A4725" w:rsidR="00006341" w:rsidRPr="00341756" w:rsidRDefault="00006341" w:rsidP="008F3CBE">
      <w:pPr>
        <w:jc w:val="both"/>
        <w:rPr>
          <w:rFonts w:asciiTheme="majorBidi" w:hAnsiTheme="majorBidi" w:cstheme="majorBidi"/>
          <w:i/>
          <w:iCs/>
          <w:sz w:val="24"/>
          <w:szCs w:val="24"/>
        </w:rPr>
      </w:pPr>
      <w:r w:rsidRPr="00341756">
        <w:rPr>
          <w:rFonts w:asciiTheme="majorBidi" w:hAnsiTheme="majorBidi" w:cstheme="majorBidi"/>
          <w:i/>
          <w:iCs/>
          <w:sz w:val="24"/>
          <w:szCs w:val="24"/>
        </w:rPr>
        <w:t>H</w:t>
      </w:r>
      <w:r w:rsidR="008F3CBE" w:rsidRPr="00341756">
        <w:rPr>
          <w:rFonts w:asciiTheme="majorBidi" w:hAnsiTheme="majorBidi" w:cstheme="majorBidi"/>
          <w:i/>
          <w:iCs/>
          <w:sz w:val="24"/>
          <w:szCs w:val="24"/>
        </w:rPr>
        <w:t>2</w:t>
      </w:r>
      <w:r w:rsidRPr="00341756">
        <w:rPr>
          <w:rFonts w:asciiTheme="majorBidi" w:hAnsiTheme="majorBidi" w:cstheme="majorBidi"/>
          <w:i/>
          <w:iCs/>
          <w:sz w:val="24"/>
          <w:szCs w:val="24"/>
        </w:rPr>
        <w:t xml:space="preserve">: Uncertainty </w:t>
      </w:r>
      <w:r w:rsidR="004067D6" w:rsidRPr="00341756">
        <w:rPr>
          <w:rFonts w:asciiTheme="majorBidi" w:hAnsiTheme="majorBidi" w:cstheme="majorBidi"/>
          <w:i/>
          <w:iCs/>
          <w:sz w:val="24"/>
          <w:szCs w:val="24"/>
        </w:rPr>
        <w:t>stimulate/intensifies the impact of tax avoidance on</w:t>
      </w:r>
      <w:r w:rsidRPr="00341756">
        <w:rPr>
          <w:rFonts w:asciiTheme="majorBidi" w:hAnsiTheme="majorBidi" w:cstheme="majorBidi"/>
          <w:i/>
          <w:iCs/>
          <w:sz w:val="24"/>
          <w:szCs w:val="24"/>
        </w:rPr>
        <w:t xml:space="preserve"> the auditor's opinion </w:t>
      </w:r>
    </w:p>
    <w:p w14:paraId="6B4B0E52" w14:textId="796F0D25" w:rsidR="00006341" w:rsidRPr="00341756" w:rsidRDefault="00006341" w:rsidP="00B30FC4">
      <w:pPr>
        <w:jc w:val="both"/>
        <w:rPr>
          <w:rFonts w:asciiTheme="majorBidi" w:hAnsiTheme="majorBidi" w:cstheme="majorBidi"/>
          <w:sz w:val="24"/>
          <w:szCs w:val="24"/>
        </w:rPr>
      </w:pPr>
      <w:r w:rsidRPr="00341756">
        <w:rPr>
          <w:rFonts w:asciiTheme="majorBidi" w:hAnsiTheme="majorBidi" w:cstheme="majorBidi"/>
          <w:sz w:val="24"/>
          <w:szCs w:val="24"/>
        </w:rPr>
        <w:lastRenderedPageBreak/>
        <w:t xml:space="preserve">Government presence in the firm's ownership structure plays a role in its financial situation and performance. </w:t>
      </w:r>
      <w:hyperlink w:anchor="w29" w:history="1">
        <w:r w:rsidRPr="00341756">
          <w:rPr>
            <w:rStyle w:val="Hyperlink"/>
            <w:rFonts w:asciiTheme="majorBidi" w:hAnsiTheme="majorBidi" w:cstheme="majorBidi"/>
            <w:sz w:val="24"/>
            <w:szCs w:val="24"/>
          </w:rPr>
          <w:t>Gompers et al. (2003)</w:t>
        </w:r>
      </w:hyperlink>
      <w:r w:rsidRPr="00341756">
        <w:rPr>
          <w:rFonts w:asciiTheme="majorBidi" w:hAnsiTheme="majorBidi" w:cstheme="majorBidi"/>
          <w:sz w:val="24"/>
          <w:szCs w:val="24"/>
        </w:rPr>
        <w:t xml:space="preserve"> found that firms with influential shareholders have higher profits, sales growth, and lower capital expenditures. </w:t>
      </w:r>
      <w:hyperlink w:anchor="w30" w:history="1">
        <w:proofErr w:type="spellStart"/>
        <w:r w:rsidRPr="00341756">
          <w:rPr>
            <w:rStyle w:val="Hyperlink"/>
            <w:rFonts w:asciiTheme="majorBidi" w:hAnsiTheme="majorBidi" w:cstheme="majorBidi"/>
            <w:sz w:val="24"/>
            <w:szCs w:val="24"/>
          </w:rPr>
          <w:t>Borisova</w:t>
        </w:r>
        <w:proofErr w:type="spellEnd"/>
        <w:r w:rsidRPr="00341756">
          <w:rPr>
            <w:rStyle w:val="Hyperlink"/>
            <w:rFonts w:asciiTheme="majorBidi" w:hAnsiTheme="majorBidi" w:cstheme="majorBidi"/>
            <w:sz w:val="24"/>
            <w:szCs w:val="24"/>
          </w:rPr>
          <w:t xml:space="preserve"> et al. (2012)</w:t>
        </w:r>
      </w:hyperlink>
      <w:r w:rsidRPr="00341756">
        <w:rPr>
          <w:rFonts w:asciiTheme="majorBidi" w:hAnsiTheme="majorBidi" w:cstheme="majorBidi"/>
          <w:sz w:val="24"/>
          <w:szCs w:val="24"/>
        </w:rPr>
        <w:t xml:space="preserve"> claimed that government ownership leads to higher monitoring and improved governance because of governments' monopoly on </w:t>
      </w:r>
      <w:r w:rsidR="00803BF3">
        <w:rPr>
          <w:rFonts w:asciiTheme="majorBidi" w:hAnsiTheme="majorBidi" w:cstheme="majorBidi"/>
          <w:sz w:val="24"/>
          <w:szCs w:val="24"/>
        </w:rPr>
        <w:t>using</w:t>
      </w:r>
      <w:r w:rsidRPr="00341756">
        <w:rPr>
          <w:rFonts w:asciiTheme="majorBidi" w:hAnsiTheme="majorBidi" w:cstheme="majorBidi"/>
          <w:sz w:val="24"/>
          <w:szCs w:val="24"/>
        </w:rPr>
        <w:t xml:space="preserve"> coercive power. Such firms may have </w:t>
      </w:r>
      <w:r w:rsidR="00D26AD3">
        <w:rPr>
          <w:rFonts w:asciiTheme="majorBidi" w:hAnsiTheme="majorBidi" w:cstheme="majorBidi"/>
          <w:sz w:val="24"/>
          <w:szCs w:val="24"/>
        </w:rPr>
        <w:t>the</w:t>
      </w:r>
      <w:r w:rsidR="00D26AD3" w:rsidRPr="00341756">
        <w:rPr>
          <w:rFonts w:asciiTheme="majorBidi" w:hAnsiTheme="majorBidi" w:cstheme="majorBidi"/>
          <w:sz w:val="24"/>
          <w:szCs w:val="24"/>
        </w:rPr>
        <w:t xml:space="preserve"> </w:t>
      </w:r>
      <w:r w:rsidRPr="00341756">
        <w:rPr>
          <w:rFonts w:asciiTheme="majorBidi" w:hAnsiTheme="majorBidi" w:cstheme="majorBidi"/>
          <w:sz w:val="24"/>
          <w:szCs w:val="24"/>
        </w:rPr>
        <w:t>privilege of more market and policy information which positively affects their investment decisions, performance and accordingly reduces the risk related to the economic and political conditions (</w:t>
      </w:r>
      <w:hyperlink w:anchor="w33" w:history="1">
        <w:r w:rsidR="00B87EEF" w:rsidRPr="00341756">
          <w:rPr>
            <w:rStyle w:val="Hyperlink"/>
            <w:rFonts w:asciiTheme="majorBidi" w:hAnsiTheme="majorBidi" w:cstheme="majorBidi"/>
            <w:sz w:val="24"/>
            <w:szCs w:val="24"/>
          </w:rPr>
          <w:t>Li &amp; Liang</w:t>
        </w:r>
        <w:r w:rsidRPr="00341756">
          <w:rPr>
            <w:rStyle w:val="Hyperlink"/>
            <w:rFonts w:asciiTheme="majorBidi" w:hAnsiTheme="majorBidi" w:cstheme="majorBidi"/>
            <w:sz w:val="24"/>
            <w:szCs w:val="24"/>
          </w:rPr>
          <w:t>, 2012</w:t>
        </w:r>
      </w:hyperlink>
      <w:r w:rsidRPr="00341756">
        <w:rPr>
          <w:rFonts w:asciiTheme="majorBidi" w:hAnsiTheme="majorBidi" w:cstheme="majorBidi"/>
          <w:sz w:val="24"/>
          <w:szCs w:val="24"/>
        </w:rPr>
        <w:t xml:space="preserve">). </w:t>
      </w:r>
      <w:hyperlink w:anchor="w34" w:history="1">
        <w:r w:rsidRPr="00341756">
          <w:rPr>
            <w:rStyle w:val="Hyperlink"/>
            <w:rFonts w:asciiTheme="majorBidi" w:hAnsiTheme="majorBidi" w:cstheme="majorBidi"/>
            <w:sz w:val="24"/>
            <w:szCs w:val="24"/>
          </w:rPr>
          <w:t xml:space="preserve">Shleifer and </w:t>
        </w:r>
        <w:proofErr w:type="spellStart"/>
        <w:r w:rsidRPr="00341756">
          <w:rPr>
            <w:rStyle w:val="Hyperlink"/>
            <w:rFonts w:asciiTheme="majorBidi" w:hAnsiTheme="majorBidi" w:cstheme="majorBidi"/>
            <w:sz w:val="24"/>
            <w:szCs w:val="24"/>
          </w:rPr>
          <w:t>Vishny</w:t>
        </w:r>
        <w:proofErr w:type="spellEnd"/>
        <w:r w:rsidRPr="00341756">
          <w:rPr>
            <w:rStyle w:val="Hyperlink"/>
            <w:rFonts w:asciiTheme="majorBidi" w:hAnsiTheme="majorBidi" w:cstheme="majorBidi"/>
            <w:sz w:val="24"/>
            <w:szCs w:val="24"/>
          </w:rPr>
          <w:t xml:space="preserve"> (1997)</w:t>
        </w:r>
      </w:hyperlink>
      <w:r w:rsidRPr="00341756">
        <w:rPr>
          <w:rFonts w:asciiTheme="majorBidi" w:hAnsiTheme="majorBidi" w:cstheme="majorBidi"/>
          <w:sz w:val="24"/>
          <w:szCs w:val="24"/>
        </w:rPr>
        <w:t xml:space="preserve"> observed; however, concentrated ownership can be useful </w:t>
      </w:r>
      <w:r w:rsidR="00B30FC4">
        <w:rPr>
          <w:rFonts w:asciiTheme="majorBidi" w:hAnsiTheme="majorBidi" w:cstheme="majorBidi"/>
          <w:sz w:val="24"/>
          <w:szCs w:val="24"/>
        </w:rPr>
        <w:t>to solve</w:t>
      </w:r>
      <w:r w:rsidRPr="00341756">
        <w:rPr>
          <w:rFonts w:asciiTheme="majorBidi" w:hAnsiTheme="majorBidi" w:cstheme="majorBidi"/>
          <w:sz w:val="24"/>
          <w:szCs w:val="24"/>
        </w:rPr>
        <w:t xml:space="preserve"> the agency problem, it may also inefficiently redistribute wealth from other investors to themselves. Public choice theory suggests that government-owned firms might pursue vote-gaining goals instead of performance goals because of the po</w:t>
      </w:r>
      <w:r w:rsidR="00B87EEF" w:rsidRPr="00341756">
        <w:rPr>
          <w:rFonts w:asciiTheme="majorBidi" w:hAnsiTheme="majorBidi" w:cstheme="majorBidi"/>
          <w:sz w:val="24"/>
          <w:szCs w:val="24"/>
        </w:rPr>
        <w:t>liticians' pressures (</w:t>
      </w:r>
      <w:proofErr w:type="spellStart"/>
      <w:r w:rsidR="008C53F0">
        <w:fldChar w:fldCharType="begin"/>
      </w:r>
      <w:r w:rsidR="008C53F0">
        <w:instrText xml:space="preserve"> HYPERLINK \l "w35" </w:instrText>
      </w:r>
      <w:r w:rsidR="008C53F0">
        <w:fldChar w:fldCharType="separate"/>
      </w:r>
      <w:r w:rsidR="001835FE" w:rsidRPr="00341756">
        <w:rPr>
          <w:rStyle w:val="Hyperlink"/>
          <w:rFonts w:asciiTheme="majorBidi" w:hAnsiTheme="majorBidi" w:cstheme="majorBidi"/>
          <w:sz w:val="24"/>
          <w:szCs w:val="24"/>
        </w:rPr>
        <w:t>Brouthers</w:t>
      </w:r>
      <w:proofErr w:type="spellEnd"/>
      <w:r w:rsidR="001835FE" w:rsidRPr="00341756">
        <w:rPr>
          <w:rStyle w:val="Hyperlink"/>
          <w:rFonts w:asciiTheme="majorBidi" w:hAnsiTheme="majorBidi" w:cstheme="majorBidi"/>
          <w:sz w:val="24"/>
          <w:szCs w:val="24"/>
        </w:rPr>
        <w:t xml:space="preserve"> et al.</w:t>
      </w:r>
      <w:r w:rsidR="00B87EEF" w:rsidRPr="00341756">
        <w:rPr>
          <w:rStyle w:val="Hyperlink"/>
          <w:rFonts w:asciiTheme="majorBidi" w:hAnsiTheme="majorBidi" w:cstheme="majorBidi"/>
          <w:sz w:val="24"/>
          <w:szCs w:val="24"/>
        </w:rPr>
        <w:t xml:space="preserve">, </w:t>
      </w:r>
      <w:r w:rsidRPr="00341756">
        <w:rPr>
          <w:rStyle w:val="Hyperlink"/>
          <w:rFonts w:asciiTheme="majorBidi" w:hAnsiTheme="majorBidi" w:cstheme="majorBidi"/>
          <w:sz w:val="24"/>
          <w:szCs w:val="24"/>
        </w:rPr>
        <w:t>2007</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w:t>
      </w:r>
    </w:p>
    <w:p w14:paraId="64736315" w14:textId="60101E8C" w:rsidR="00006341" w:rsidRPr="00341756" w:rsidRDefault="00006341" w:rsidP="00011D04">
      <w:pPr>
        <w:jc w:val="both"/>
        <w:rPr>
          <w:rFonts w:asciiTheme="majorBidi" w:hAnsiTheme="majorBidi" w:cstheme="majorBidi"/>
          <w:sz w:val="24"/>
          <w:szCs w:val="24"/>
        </w:rPr>
      </w:pPr>
      <w:r w:rsidRPr="00341756">
        <w:rPr>
          <w:rFonts w:asciiTheme="majorBidi" w:hAnsiTheme="majorBidi" w:cstheme="majorBidi"/>
          <w:sz w:val="24"/>
          <w:szCs w:val="24"/>
        </w:rPr>
        <w:t>The government which is considered one of the firm's stakeholders</w:t>
      </w:r>
      <w:r w:rsidR="00A130CF" w:rsidRPr="00341756">
        <w:rPr>
          <w:rStyle w:val="FootnoteReference"/>
          <w:rFonts w:asciiTheme="majorBidi" w:hAnsiTheme="majorBidi" w:cstheme="majorBidi"/>
          <w:sz w:val="24"/>
          <w:szCs w:val="24"/>
        </w:rPr>
        <w:footnoteReference w:id="3"/>
      </w:r>
      <w:r w:rsidR="00E64D2C" w:rsidRPr="00341756">
        <w:rPr>
          <w:rFonts w:asciiTheme="majorBidi" w:hAnsiTheme="majorBidi" w:cstheme="majorBidi"/>
          <w:sz w:val="24"/>
          <w:szCs w:val="24"/>
        </w:rPr>
        <w:t>,</w:t>
      </w:r>
      <w:r w:rsidR="00A130CF" w:rsidRPr="00341756">
        <w:rPr>
          <w:rFonts w:asciiTheme="majorBidi" w:hAnsiTheme="majorBidi" w:cstheme="majorBidi"/>
          <w:sz w:val="24"/>
          <w:szCs w:val="24"/>
        </w:rPr>
        <w:t xml:space="preserve"> </w:t>
      </w:r>
      <w:r w:rsidRPr="00341756">
        <w:rPr>
          <w:rFonts w:asciiTheme="majorBidi" w:hAnsiTheme="majorBidi" w:cstheme="majorBidi"/>
          <w:sz w:val="24"/>
          <w:szCs w:val="24"/>
        </w:rPr>
        <w:t>pays taxes and shares the profit in the form of dividends and rewards (</w:t>
      </w:r>
      <w:proofErr w:type="spellStart"/>
      <w:r w:rsidR="008C53F0">
        <w:fldChar w:fldCharType="begin"/>
      </w:r>
      <w:r w:rsidR="008C53F0">
        <w:instrText xml:space="preserve"> HYPERLINK \l "w17" </w:instrText>
      </w:r>
      <w:r w:rsidR="008C53F0">
        <w:fldChar w:fldCharType="separate"/>
      </w:r>
      <w:r w:rsidRPr="00341756">
        <w:rPr>
          <w:rStyle w:val="Hyperlink"/>
          <w:rFonts w:asciiTheme="majorBidi" w:hAnsiTheme="majorBidi" w:cstheme="majorBidi"/>
          <w:sz w:val="24"/>
          <w:szCs w:val="24"/>
        </w:rPr>
        <w:t>Mafrolla</w:t>
      </w:r>
      <w:proofErr w:type="spellEnd"/>
      <w:r w:rsidRPr="00341756">
        <w:rPr>
          <w:rStyle w:val="Hyperlink"/>
          <w:rFonts w:asciiTheme="majorBidi" w:hAnsiTheme="majorBidi" w:cstheme="majorBidi"/>
          <w:sz w:val="24"/>
          <w:szCs w:val="24"/>
        </w:rPr>
        <w:t>, 2019</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 xml:space="preserve">). </w:t>
      </w:r>
      <w:hyperlink w:anchor="w36" w:history="1">
        <w:r w:rsidRPr="00341756">
          <w:rPr>
            <w:rStyle w:val="Hyperlink"/>
            <w:rFonts w:asciiTheme="majorBidi" w:hAnsiTheme="majorBidi" w:cstheme="majorBidi"/>
            <w:sz w:val="24"/>
            <w:szCs w:val="24"/>
          </w:rPr>
          <w:t>Hasan et al. (2017)</w:t>
        </w:r>
      </w:hyperlink>
      <w:r w:rsidRPr="00341756">
        <w:rPr>
          <w:rFonts w:asciiTheme="majorBidi" w:hAnsiTheme="majorBidi" w:cstheme="majorBidi"/>
          <w:sz w:val="24"/>
          <w:szCs w:val="24"/>
        </w:rPr>
        <w:t xml:space="preserve"> reported that tax payments by government-owned companies are considered a sign </w:t>
      </w:r>
      <w:r w:rsidR="008D3BF4">
        <w:rPr>
          <w:rFonts w:asciiTheme="majorBidi" w:hAnsiTheme="majorBidi" w:cstheme="majorBidi"/>
          <w:sz w:val="24"/>
          <w:szCs w:val="24"/>
        </w:rPr>
        <w:t>of</w:t>
      </w:r>
      <w:r w:rsidR="008D3BF4"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government ownership effectiveness which improves the firm's image in the public domain. </w:t>
      </w:r>
      <w:r w:rsidR="00011D04">
        <w:rPr>
          <w:rFonts w:asciiTheme="majorBidi" w:hAnsiTheme="majorBidi" w:cstheme="majorBidi"/>
          <w:sz w:val="24"/>
          <w:szCs w:val="24"/>
        </w:rPr>
        <w:t>Thus</w:t>
      </w:r>
      <w:r w:rsidRPr="00341756">
        <w:rPr>
          <w:rFonts w:asciiTheme="majorBidi" w:hAnsiTheme="majorBidi" w:cstheme="majorBidi"/>
          <w:sz w:val="24"/>
          <w:szCs w:val="24"/>
        </w:rPr>
        <w:t>, government presence in the ownership structure could be seen as a disincentive of tax avoidance. However, some studies pointed at managerial opportunism (</w:t>
      </w:r>
      <w:hyperlink w:anchor="w37" w:history="1">
        <w:r w:rsidRPr="00341756">
          <w:rPr>
            <w:rStyle w:val="Hyperlink"/>
            <w:rFonts w:asciiTheme="majorBidi" w:hAnsiTheme="majorBidi" w:cstheme="majorBidi"/>
            <w:sz w:val="24"/>
            <w:szCs w:val="24"/>
          </w:rPr>
          <w:t xml:space="preserve">Martinez &amp; Motta, </w:t>
        </w:r>
        <w:r w:rsidR="00E51E7F" w:rsidRPr="00341756">
          <w:rPr>
            <w:rStyle w:val="Hyperlink"/>
            <w:rFonts w:asciiTheme="majorBidi" w:hAnsiTheme="majorBidi" w:cstheme="majorBidi"/>
            <w:sz w:val="24"/>
            <w:szCs w:val="24"/>
          </w:rPr>
          <w:t>2020</w:t>
        </w:r>
      </w:hyperlink>
      <w:r w:rsidRPr="00341756">
        <w:rPr>
          <w:rFonts w:asciiTheme="majorBidi" w:hAnsiTheme="majorBidi" w:cstheme="majorBidi"/>
          <w:sz w:val="24"/>
          <w:szCs w:val="24"/>
        </w:rPr>
        <w:t>) and the preferred treatment of government-owned firms, which motivates their managers to utilize an aggressive tax strategy (</w:t>
      </w:r>
      <w:proofErr w:type="spellStart"/>
      <w:r w:rsidR="008C53F0">
        <w:fldChar w:fldCharType="begin"/>
      </w:r>
      <w:r w:rsidR="008C53F0">
        <w:instrText xml:space="preserve"> HYPERLINK \l "w38" </w:instrText>
      </w:r>
      <w:r w:rsidR="008C53F0">
        <w:fldChar w:fldCharType="separate"/>
      </w:r>
      <w:r w:rsidRPr="00341756">
        <w:rPr>
          <w:rStyle w:val="Hyperlink"/>
          <w:rFonts w:asciiTheme="majorBidi" w:hAnsiTheme="majorBidi" w:cstheme="majorBidi"/>
          <w:sz w:val="24"/>
          <w:szCs w:val="24"/>
        </w:rPr>
        <w:t>Mahenthrian</w:t>
      </w:r>
      <w:proofErr w:type="spellEnd"/>
      <w:r w:rsidRPr="00341756">
        <w:rPr>
          <w:rStyle w:val="Hyperlink"/>
          <w:rFonts w:asciiTheme="majorBidi" w:hAnsiTheme="majorBidi" w:cstheme="majorBidi"/>
          <w:sz w:val="24"/>
          <w:szCs w:val="24"/>
        </w:rPr>
        <w:t xml:space="preserve"> &amp; </w:t>
      </w:r>
      <w:proofErr w:type="spellStart"/>
      <w:r w:rsidRPr="00341756">
        <w:rPr>
          <w:rStyle w:val="Hyperlink"/>
          <w:rFonts w:asciiTheme="majorBidi" w:hAnsiTheme="majorBidi" w:cstheme="majorBidi"/>
          <w:sz w:val="24"/>
          <w:szCs w:val="24"/>
        </w:rPr>
        <w:t>Kasipillai</w:t>
      </w:r>
      <w:proofErr w:type="spellEnd"/>
      <w:r w:rsidRPr="00341756">
        <w:rPr>
          <w:rStyle w:val="Hyperlink"/>
          <w:rFonts w:asciiTheme="majorBidi" w:hAnsiTheme="majorBidi" w:cstheme="majorBidi"/>
          <w:sz w:val="24"/>
          <w:szCs w:val="24"/>
        </w:rPr>
        <w:t>, 2012</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 When the government is the primary owner, and the government supports the manager or a subordinate organization regulates the monitoring rules</w:t>
      </w:r>
      <w:r w:rsidR="001349E1">
        <w:rPr>
          <w:rFonts w:asciiTheme="majorBidi" w:hAnsiTheme="majorBidi" w:cstheme="majorBidi"/>
          <w:sz w:val="24"/>
          <w:szCs w:val="24"/>
        </w:rPr>
        <w:t>;</w:t>
      </w:r>
      <w:r w:rsidR="001349E1" w:rsidRPr="00341756">
        <w:rPr>
          <w:rFonts w:asciiTheme="majorBidi" w:hAnsiTheme="majorBidi" w:cstheme="majorBidi"/>
          <w:sz w:val="24"/>
          <w:szCs w:val="24"/>
        </w:rPr>
        <w:t xml:space="preserve"> </w:t>
      </w:r>
      <w:r w:rsidRPr="00341756">
        <w:rPr>
          <w:rFonts w:asciiTheme="majorBidi" w:hAnsiTheme="majorBidi" w:cstheme="majorBidi"/>
          <w:sz w:val="24"/>
          <w:szCs w:val="24"/>
        </w:rPr>
        <w:t>hence</w:t>
      </w:r>
      <w:r w:rsidR="001349E1">
        <w:rPr>
          <w:rFonts w:asciiTheme="majorBidi" w:hAnsiTheme="majorBidi" w:cstheme="majorBidi"/>
          <w:sz w:val="24"/>
          <w:szCs w:val="24"/>
        </w:rPr>
        <w:t>,</w:t>
      </w:r>
      <w:r w:rsidRPr="00341756">
        <w:rPr>
          <w:rFonts w:asciiTheme="majorBidi" w:hAnsiTheme="majorBidi" w:cstheme="majorBidi"/>
          <w:sz w:val="24"/>
          <w:szCs w:val="24"/>
        </w:rPr>
        <w:t xml:space="preserve"> there is a higher chance for tax avoidance compared to private firms (</w:t>
      </w:r>
      <w:proofErr w:type="spellStart"/>
      <w:r w:rsidR="008C53F0">
        <w:fldChar w:fldCharType="begin"/>
      </w:r>
      <w:r w:rsidR="008C53F0">
        <w:instrText xml:space="preserve"> HYPERLINK \l "w39" </w:instrText>
      </w:r>
      <w:r w:rsidR="008C53F0">
        <w:fldChar w:fldCharType="separate"/>
      </w:r>
      <w:r w:rsidRPr="00341756">
        <w:rPr>
          <w:rStyle w:val="Hyperlink"/>
          <w:rFonts w:asciiTheme="majorBidi" w:hAnsiTheme="majorBidi" w:cstheme="majorBidi"/>
          <w:sz w:val="24"/>
          <w:szCs w:val="24"/>
        </w:rPr>
        <w:t>Krivogorsky</w:t>
      </w:r>
      <w:proofErr w:type="spellEnd"/>
      <w:r w:rsidRPr="00341756">
        <w:rPr>
          <w:rStyle w:val="Hyperlink"/>
          <w:rFonts w:asciiTheme="majorBidi" w:hAnsiTheme="majorBidi" w:cstheme="majorBidi"/>
          <w:sz w:val="24"/>
          <w:szCs w:val="24"/>
        </w:rPr>
        <w:t xml:space="preserve"> &amp; </w:t>
      </w:r>
      <w:proofErr w:type="spellStart"/>
      <w:r w:rsidRPr="00341756">
        <w:rPr>
          <w:rStyle w:val="Hyperlink"/>
          <w:rFonts w:asciiTheme="majorBidi" w:hAnsiTheme="majorBidi" w:cstheme="majorBidi"/>
          <w:sz w:val="24"/>
          <w:szCs w:val="24"/>
        </w:rPr>
        <w:t>Grudnitski</w:t>
      </w:r>
      <w:proofErr w:type="spellEnd"/>
      <w:r w:rsidRPr="00341756">
        <w:rPr>
          <w:rStyle w:val="Hyperlink"/>
          <w:rFonts w:asciiTheme="majorBidi" w:hAnsiTheme="majorBidi" w:cstheme="majorBidi"/>
          <w:sz w:val="24"/>
          <w:szCs w:val="24"/>
        </w:rPr>
        <w:t>, 2010</w:t>
      </w:r>
      <w:r w:rsidR="008C53F0">
        <w:rPr>
          <w:rStyle w:val="Hyperlink"/>
          <w:rFonts w:asciiTheme="majorBidi" w:hAnsiTheme="majorBidi" w:cstheme="majorBidi"/>
          <w:sz w:val="24"/>
          <w:szCs w:val="24"/>
        </w:rPr>
        <w:fldChar w:fldCharType="end"/>
      </w:r>
      <w:r w:rsidRPr="00341756">
        <w:rPr>
          <w:rFonts w:asciiTheme="majorBidi" w:hAnsiTheme="majorBidi" w:cstheme="majorBidi"/>
          <w:sz w:val="24"/>
          <w:szCs w:val="24"/>
        </w:rPr>
        <w:t>).</w:t>
      </w:r>
    </w:p>
    <w:p w14:paraId="3C83E8A8" w14:textId="6570DC0A" w:rsidR="00006341" w:rsidRPr="00341756" w:rsidRDefault="00006341" w:rsidP="00882BA6">
      <w:pPr>
        <w:jc w:val="both"/>
        <w:rPr>
          <w:rFonts w:asciiTheme="majorBidi" w:hAnsiTheme="majorBidi" w:cstheme="majorBidi"/>
          <w:sz w:val="24"/>
          <w:szCs w:val="24"/>
        </w:rPr>
      </w:pPr>
      <w:r w:rsidRPr="00341756">
        <w:rPr>
          <w:rFonts w:asciiTheme="majorBidi" w:hAnsiTheme="majorBidi" w:cstheme="majorBidi"/>
          <w:sz w:val="24"/>
          <w:szCs w:val="24"/>
        </w:rPr>
        <w:t>The Iranian government plays a vital role in the economic environment. It dominants the big companies by ownership and management support. 47% of listed companies</w:t>
      </w:r>
      <w:r w:rsidR="00032991" w:rsidRPr="00341756">
        <w:rPr>
          <w:rStyle w:val="FootnoteReference"/>
          <w:rFonts w:asciiTheme="majorBidi" w:hAnsiTheme="majorBidi" w:cstheme="majorBidi"/>
          <w:sz w:val="24"/>
          <w:szCs w:val="24"/>
        </w:rPr>
        <w:footnoteReference w:id="4"/>
      </w:r>
      <w:r w:rsidR="00032991"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are either owned or controlled by the government. 66% of the stock market capitalization </w:t>
      </w:r>
      <w:r w:rsidR="00882BA6">
        <w:rPr>
          <w:rFonts w:asciiTheme="majorBidi" w:hAnsiTheme="majorBidi" w:cstheme="majorBidi"/>
          <w:sz w:val="24"/>
          <w:szCs w:val="24"/>
        </w:rPr>
        <w:t>belongs</w:t>
      </w:r>
      <w:r w:rsidR="00882BA6" w:rsidRPr="00341756">
        <w:rPr>
          <w:rFonts w:asciiTheme="majorBidi" w:hAnsiTheme="majorBidi" w:cstheme="majorBidi"/>
          <w:sz w:val="24"/>
          <w:szCs w:val="24"/>
        </w:rPr>
        <w:t xml:space="preserve"> </w:t>
      </w:r>
      <w:r w:rsidRPr="00341756">
        <w:rPr>
          <w:rFonts w:asciiTheme="majorBidi" w:hAnsiTheme="majorBidi" w:cstheme="majorBidi"/>
          <w:sz w:val="24"/>
          <w:szCs w:val="24"/>
        </w:rPr>
        <w:t>to firms where the government is their major shareholder.</w:t>
      </w:r>
    </w:p>
    <w:p w14:paraId="65763B8C" w14:textId="42408E16" w:rsidR="00006341" w:rsidRPr="00341756" w:rsidRDefault="00006341" w:rsidP="0093504D">
      <w:pPr>
        <w:jc w:val="both"/>
        <w:rPr>
          <w:rFonts w:asciiTheme="majorBidi" w:hAnsiTheme="majorBidi" w:cstheme="majorBidi"/>
          <w:color w:val="000000" w:themeColor="text1"/>
          <w:sz w:val="24"/>
          <w:szCs w:val="24"/>
        </w:rPr>
      </w:pPr>
      <w:r w:rsidRPr="00341756">
        <w:rPr>
          <w:rFonts w:asciiTheme="majorBidi" w:hAnsiTheme="majorBidi" w:cstheme="majorBidi"/>
          <w:sz w:val="24"/>
          <w:szCs w:val="24"/>
        </w:rPr>
        <w:t>Most of the government-owned firms' managers are on a limited tenure contract. Hence</w:t>
      </w:r>
      <w:r w:rsidR="00774194">
        <w:rPr>
          <w:rFonts w:asciiTheme="majorBidi" w:hAnsiTheme="majorBidi" w:cstheme="majorBidi"/>
          <w:sz w:val="24"/>
          <w:szCs w:val="24"/>
        </w:rPr>
        <w:t>,</w:t>
      </w:r>
      <w:r w:rsidRPr="00341756">
        <w:rPr>
          <w:rFonts w:asciiTheme="majorBidi" w:hAnsiTheme="majorBidi" w:cstheme="majorBidi"/>
          <w:sz w:val="24"/>
          <w:szCs w:val="24"/>
        </w:rPr>
        <w:t xml:space="preserve"> they focus showing their excellent performance in the short run, without any incentive for long-run performance goals. This may induce the managers to utilize any possible method including tax avoidance. Such managers tend to avoid the tax with less fear of consequences since they are allowed to report different levels of income to the tax assessors</w:t>
      </w:r>
      <w:r w:rsidR="0097645A" w:rsidRPr="00341756">
        <w:rPr>
          <w:rStyle w:val="FootnoteReference"/>
          <w:rFonts w:asciiTheme="majorBidi" w:hAnsiTheme="majorBidi" w:cstheme="majorBidi"/>
          <w:sz w:val="24"/>
          <w:szCs w:val="24"/>
        </w:rPr>
        <w:footnoteReference w:id="5"/>
      </w:r>
      <w:r w:rsidR="0097645A" w:rsidRPr="00341756">
        <w:rPr>
          <w:rFonts w:asciiTheme="majorBidi" w:hAnsiTheme="majorBidi" w:cstheme="majorBidi"/>
          <w:sz w:val="24"/>
          <w:szCs w:val="24"/>
        </w:rPr>
        <w:t>,</w:t>
      </w:r>
      <w:r w:rsidR="009674CE"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and the shareholders. The tax avoidance by such companies would be treated as inaccuracy in the tax-saving account which results only in a fine and not in a prosecution like </w:t>
      </w:r>
      <w:r w:rsidR="00D8747E">
        <w:rPr>
          <w:rFonts w:asciiTheme="majorBidi" w:hAnsiTheme="majorBidi" w:cstheme="majorBidi"/>
          <w:sz w:val="24"/>
          <w:szCs w:val="24"/>
        </w:rPr>
        <w:t>a</w:t>
      </w:r>
      <w:r w:rsidR="00D8747E" w:rsidRPr="00341756">
        <w:rPr>
          <w:rFonts w:asciiTheme="majorBidi" w:hAnsiTheme="majorBidi" w:cstheme="majorBidi"/>
          <w:sz w:val="24"/>
          <w:szCs w:val="24"/>
        </w:rPr>
        <w:t xml:space="preserve"> </w:t>
      </w:r>
      <w:r w:rsidRPr="00341756">
        <w:rPr>
          <w:rFonts w:asciiTheme="majorBidi" w:hAnsiTheme="majorBidi" w:cstheme="majorBidi"/>
          <w:sz w:val="24"/>
          <w:szCs w:val="24"/>
        </w:rPr>
        <w:t>case for any other private company</w:t>
      </w:r>
      <w:r w:rsidR="007D21BB" w:rsidRPr="00341756">
        <w:rPr>
          <w:rFonts w:asciiTheme="majorBidi" w:hAnsiTheme="majorBidi" w:cstheme="majorBidi"/>
          <w:sz w:val="24"/>
          <w:szCs w:val="24"/>
        </w:rPr>
        <w:t xml:space="preserve"> (</w:t>
      </w:r>
      <w:hyperlink w:anchor="w40" w:history="1">
        <w:r w:rsidR="00735E9F" w:rsidRPr="00341756">
          <w:rPr>
            <w:rStyle w:val="Hyperlink"/>
            <w:rFonts w:asciiTheme="majorBidi" w:hAnsiTheme="majorBidi" w:cstheme="majorBidi"/>
            <w:sz w:val="24"/>
            <w:szCs w:val="24"/>
          </w:rPr>
          <w:t xml:space="preserve">Iranian National Tax Administration, </w:t>
        </w:r>
        <w:r w:rsidR="00BE3816" w:rsidRPr="00341756">
          <w:rPr>
            <w:rStyle w:val="Hyperlink"/>
            <w:rFonts w:asciiTheme="majorBidi" w:hAnsiTheme="majorBidi" w:cstheme="majorBidi"/>
            <w:sz w:val="24"/>
            <w:szCs w:val="24"/>
          </w:rPr>
          <w:t>2015</w:t>
        </w:r>
      </w:hyperlink>
      <w:r w:rsidR="007D21BB" w:rsidRPr="00341756">
        <w:rPr>
          <w:rFonts w:asciiTheme="majorBidi" w:hAnsiTheme="majorBidi" w:cstheme="majorBidi"/>
          <w:sz w:val="24"/>
          <w:szCs w:val="24"/>
        </w:rPr>
        <w:t>)</w:t>
      </w:r>
      <w:r w:rsidR="0097645A" w:rsidRPr="00341756">
        <w:rPr>
          <w:rFonts w:asciiTheme="majorBidi" w:hAnsiTheme="majorBidi" w:cstheme="majorBidi"/>
          <w:sz w:val="24"/>
          <w:szCs w:val="24"/>
        </w:rPr>
        <w:t>.</w:t>
      </w:r>
      <w:r w:rsidR="007D21BB" w:rsidRPr="00341756">
        <w:rPr>
          <w:rFonts w:asciiTheme="majorBidi" w:hAnsiTheme="majorBidi" w:cstheme="majorBidi"/>
          <w:sz w:val="24"/>
          <w:szCs w:val="24"/>
        </w:rPr>
        <w:t xml:space="preserve"> </w:t>
      </w:r>
      <w:r w:rsidRPr="00341756">
        <w:rPr>
          <w:rFonts w:asciiTheme="majorBidi" w:hAnsiTheme="majorBidi" w:cstheme="majorBidi"/>
          <w:color w:val="000000" w:themeColor="text1"/>
          <w:sz w:val="24"/>
          <w:szCs w:val="24"/>
        </w:rPr>
        <w:t xml:space="preserve">According to a report by the Iran parliament research </w:t>
      </w:r>
      <w:r w:rsidRPr="00341756">
        <w:rPr>
          <w:rFonts w:asciiTheme="majorBidi" w:hAnsiTheme="majorBidi" w:cstheme="majorBidi"/>
          <w:color w:val="000000" w:themeColor="text1"/>
          <w:sz w:val="24"/>
          <w:szCs w:val="24"/>
        </w:rPr>
        <w:lastRenderedPageBreak/>
        <w:t>committee, government-owned companies share only 10% of the total corporate taxes in the 2018 government budget.</w:t>
      </w:r>
    </w:p>
    <w:p w14:paraId="03D75935" w14:textId="748C51DE" w:rsidR="00006341" w:rsidRPr="00341756" w:rsidRDefault="004164F9" w:rsidP="00510E19">
      <w:pPr>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Furthermore</w:t>
      </w:r>
      <w:r w:rsidR="00006341" w:rsidRPr="00341756">
        <w:rPr>
          <w:rFonts w:asciiTheme="majorBidi" w:hAnsiTheme="majorBidi" w:cstheme="majorBidi"/>
          <w:color w:val="000000" w:themeColor="text1"/>
          <w:sz w:val="24"/>
          <w:szCs w:val="24"/>
        </w:rPr>
        <w:t xml:space="preserve">, we expect that government ownership intensifies tax avoidance and modifies the auditor's opinion. </w:t>
      </w:r>
      <w:r w:rsidR="00510E19">
        <w:rPr>
          <w:rFonts w:asciiTheme="majorBidi" w:hAnsiTheme="majorBidi" w:cstheme="majorBidi"/>
          <w:color w:val="000000" w:themeColor="text1"/>
          <w:sz w:val="24"/>
          <w:szCs w:val="24"/>
        </w:rPr>
        <w:t>Moreover</w:t>
      </w:r>
      <w:r w:rsidR="00006341" w:rsidRPr="00341756">
        <w:rPr>
          <w:rFonts w:asciiTheme="majorBidi" w:hAnsiTheme="majorBidi" w:cstheme="majorBidi"/>
          <w:color w:val="000000" w:themeColor="text1"/>
          <w:sz w:val="24"/>
          <w:szCs w:val="24"/>
        </w:rPr>
        <w:t>, we investigate the following hypothesis:</w:t>
      </w:r>
    </w:p>
    <w:p w14:paraId="696FBA18" w14:textId="674DEEEA" w:rsidR="004067D6" w:rsidRPr="00341756" w:rsidRDefault="00006341" w:rsidP="0059170A">
      <w:pPr>
        <w:jc w:val="both"/>
        <w:rPr>
          <w:rFonts w:asciiTheme="majorBidi" w:hAnsiTheme="majorBidi" w:cstheme="majorBidi"/>
          <w:i/>
          <w:iCs/>
          <w:sz w:val="24"/>
          <w:szCs w:val="24"/>
        </w:rPr>
      </w:pPr>
      <w:r w:rsidRPr="00341756">
        <w:rPr>
          <w:rFonts w:asciiTheme="majorBidi" w:hAnsiTheme="majorBidi" w:cstheme="majorBidi"/>
          <w:i/>
          <w:iCs/>
          <w:color w:val="000000" w:themeColor="text1"/>
          <w:sz w:val="24"/>
          <w:szCs w:val="24"/>
        </w:rPr>
        <w:t>H</w:t>
      </w:r>
      <w:r w:rsidR="0059170A" w:rsidRPr="00341756">
        <w:rPr>
          <w:rFonts w:asciiTheme="majorBidi" w:hAnsiTheme="majorBidi" w:cstheme="majorBidi"/>
          <w:i/>
          <w:iCs/>
          <w:color w:val="000000" w:themeColor="text1"/>
          <w:sz w:val="24"/>
          <w:szCs w:val="24"/>
        </w:rPr>
        <w:t>3</w:t>
      </w:r>
      <w:r w:rsidRPr="00341756">
        <w:rPr>
          <w:rFonts w:asciiTheme="majorBidi" w:hAnsiTheme="majorBidi" w:cstheme="majorBidi"/>
          <w:i/>
          <w:iCs/>
          <w:color w:val="000000" w:themeColor="text1"/>
          <w:sz w:val="24"/>
          <w:szCs w:val="24"/>
        </w:rPr>
        <w:t xml:space="preserve">: </w:t>
      </w:r>
      <w:r w:rsidR="004067D6" w:rsidRPr="00341756">
        <w:rPr>
          <w:rFonts w:asciiTheme="majorBidi" w:hAnsiTheme="majorBidi" w:cstheme="majorBidi"/>
          <w:i/>
          <w:iCs/>
          <w:color w:val="000000" w:themeColor="text1"/>
          <w:sz w:val="24"/>
          <w:szCs w:val="24"/>
        </w:rPr>
        <w:t>Government ownership</w:t>
      </w:r>
      <w:r w:rsidR="004067D6" w:rsidRPr="00341756">
        <w:rPr>
          <w:rFonts w:asciiTheme="majorBidi" w:hAnsiTheme="majorBidi" w:cstheme="majorBidi"/>
          <w:i/>
          <w:iCs/>
          <w:sz w:val="24"/>
          <w:szCs w:val="24"/>
        </w:rPr>
        <w:t xml:space="preserve"> stimulates/intensifies the impact of tax avoidance on the auditor's opinion </w:t>
      </w:r>
    </w:p>
    <w:p w14:paraId="65810BBC" w14:textId="77777777" w:rsidR="00006341" w:rsidRPr="00341756" w:rsidRDefault="00006341" w:rsidP="0039008D">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In the following section, we fill in the existing gap in the literature by quantitatively analyzing the tax avoidance and modified opinion for the government-owned companies in Iran.</w:t>
      </w:r>
    </w:p>
    <w:p w14:paraId="5D7876CB" w14:textId="795C5049" w:rsidR="006F78EF" w:rsidRPr="00341756" w:rsidRDefault="007241AF" w:rsidP="00006341">
      <w:pPr>
        <w:jc w:val="both"/>
        <w:rPr>
          <w:rFonts w:asciiTheme="majorBidi" w:hAnsiTheme="majorBidi" w:cstheme="majorBidi"/>
          <w:b/>
          <w:bCs/>
          <w:sz w:val="24"/>
          <w:szCs w:val="24"/>
        </w:rPr>
      </w:pPr>
      <w:r w:rsidRPr="00341756">
        <w:rPr>
          <w:rFonts w:asciiTheme="majorBidi" w:hAnsiTheme="majorBidi" w:cstheme="majorBidi"/>
          <w:b/>
          <w:bCs/>
          <w:sz w:val="24"/>
          <w:szCs w:val="24"/>
        </w:rPr>
        <w:t xml:space="preserve">3. </w:t>
      </w:r>
      <w:r w:rsidR="006202FB" w:rsidRPr="00341756">
        <w:rPr>
          <w:rFonts w:asciiTheme="majorBidi" w:hAnsiTheme="majorBidi" w:cstheme="majorBidi"/>
          <w:b/>
          <w:bCs/>
          <w:sz w:val="24"/>
          <w:szCs w:val="24"/>
        </w:rPr>
        <w:t>Methodology</w:t>
      </w:r>
    </w:p>
    <w:p w14:paraId="60293395" w14:textId="08B12E67" w:rsidR="007241AF" w:rsidRPr="00341756" w:rsidRDefault="006F78EF" w:rsidP="007D21BB">
      <w:pPr>
        <w:jc w:val="both"/>
        <w:rPr>
          <w:rFonts w:asciiTheme="majorBidi" w:hAnsiTheme="majorBidi" w:cstheme="majorBidi"/>
          <w:b/>
          <w:bCs/>
          <w:sz w:val="24"/>
          <w:szCs w:val="24"/>
        </w:rPr>
      </w:pPr>
      <w:r w:rsidRPr="00341756">
        <w:rPr>
          <w:rFonts w:asciiTheme="majorBidi" w:hAnsiTheme="majorBidi" w:cstheme="majorBidi"/>
          <w:b/>
          <w:bCs/>
          <w:sz w:val="24"/>
          <w:szCs w:val="24"/>
        </w:rPr>
        <w:t xml:space="preserve">3.1 </w:t>
      </w:r>
      <w:r w:rsidR="00243487" w:rsidRPr="00341756">
        <w:rPr>
          <w:rFonts w:asciiTheme="majorBidi" w:hAnsiTheme="majorBidi" w:cstheme="majorBidi"/>
          <w:b/>
          <w:bCs/>
          <w:sz w:val="24"/>
          <w:szCs w:val="24"/>
        </w:rPr>
        <w:t>D</w:t>
      </w:r>
      <w:r w:rsidRPr="00341756">
        <w:rPr>
          <w:rFonts w:asciiTheme="majorBidi" w:hAnsiTheme="majorBidi" w:cstheme="majorBidi"/>
          <w:b/>
          <w:bCs/>
          <w:sz w:val="24"/>
          <w:szCs w:val="24"/>
        </w:rPr>
        <w:t>ata</w:t>
      </w:r>
      <w:r w:rsidR="00243487" w:rsidRPr="00341756">
        <w:rPr>
          <w:rFonts w:asciiTheme="majorBidi" w:hAnsiTheme="majorBidi" w:cstheme="majorBidi"/>
          <w:b/>
          <w:bCs/>
          <w:sz w:val="24"/>
          <w:szCs w:val="24"/>
        </w:rPr>
        <w:t xml:space="preserve"> and Variables</w:t>
      </w:r>
    </w:p>
    <w:p w14:paraId="4A72EEFA" w14:textId="6CA17EFC" w:rsidR="001B3CB4" w:rsidRPr="00341756" w:rsidRDefault="001B3CB4" w:rsidP="00837984">
      <w:pPr>
        <w:jc w:val="both"/>
        <w:rPr>
          <w:rFonts w:asciiTheme="majorBidi" w:hAnsiTheme="majorBidi" w:cstheme="majorBidi"/>
          <w:color w:val="auto"/>
          <w:sz w:val="24"/>
          <w:szCs w:val="24"/>
        </w:rPr>
      </w:pPr>
      <w:r w:rsidRPr="00341756">
        <w:rPr>
          <w:rFonts w:asciiTheme="majorBidi" w:hAnsiTheme="majorBidi" w:cstheme="majorBidi"/>
          <w:color w:val="auto"/>
          <w:sz w:val="24"/>
          <w:szCs w:val="24"/>
        </w:rPr>
        <w:t xml:space="preserve">We used </w:t>
      </w:r>
      <w:r w:rsidR="00B27B3D" w:rsidRPr="00341756">
        <w:rPr>
          <w:rFonts w:asciiTheme="majorBidi" w:hAnsiTheme="majorBidi" w:cstheme="majorBidi"/>
          <w:color w:val="auto"/>
          <w:sz w:val="24"/>
          <w:szCs w:val="24"/>
        </w:rPr>
        <w:t>CODAL</w:t>
      </w:r>
      <w:r w:rsidR="00B27B3D" w:rsidRPr="00341756">
        <w:rPr>
          <w:rStyle w:val="FootnoteReference"/>
          <w:rFonts w:asciiTheme="majorBidi" w:hAnsiTheme="majorBidi" w:cstheme="majorBidi"/>
          <w:color w:val="auto"/>
          <w:sz w:val="24"/>
          <w:szCs w:val="24"/>
        </w:rPr>
        <w:footnoteReference w:id="6"/>
      </w:r>
      <w:r w:rsidR="00B27B3D" w:rsidRPr="00341756">
        <w:rPr>
          <w:rFonts w:asciiTheme="majorBidi" w:hAnsiTheme="majorBidi" w:cstheme="majorBidi"/>
          <w:color w:val="auto"/>
          <w:sz w:val="24"/>
          <w:szCs w:val="24"/>
        </w:rPr>
        <w:t xml:space="preserve"> for </w:t>
      </w:r>
      <w:r w:rsidRPr="00341756">
        <w:rPr>
          <w:rFonts w:asciiTheme="majorBidi" w:hAnsiTheme="majorBidi" w:cstheme="majorBidi"/>
          <w:color w:val="auto"/>
          <w:sz w:val="24"/>
          <w:szCs w:val="24"/>
        </w:rPr>
        <w:t xml:space="preserve">a comprehensive data set of </w:t>
      </w:r>
      <w:r w:rsidR="007C4527" w:rsidRPr="00341756">
        <w:rPr>
          <w:rFonts w:asciiTheme="majorBidi" w:hAnsiTheme="majorBidi" w:cstheme="majorBidi"/>
          <w:color w:val="auto"/>
          <w:sz w:val="24"/>
          <w:szCs w:val="24"/>
        </w:rPr>
        <w:t>115</w:t>
      </w:r>
      <w:r w:rsidRPr="00341756">
        <w:rPr>
          <w:rFonts w:asciiTheme="majorBidi" w:hAnsiTheme="majorBidi" w:cstheme="majorBidi"/>
          <w:color w:val="auto"/>
          <w:sz w:val="24"/>
          <w:szCs w:val="24"/>
        </w:rPr>
        <w:t xml:space="preserve"> listed companies</w:t>
      </w:r>
      <w:r w:rsidR="007F36B1" w:rsidRPr="00341756">
        <w:rPr>
          <w:rStyle w:val="FootnoteReference"/>
          <w:rFonts w:asciiTheme="majorBidi" w:hAnsiTheme="majorBidi" w:cstheme="majorBidi"/>
          <w:color w:val="auto"/>
          <w:sz w:val="24"/>
          <w:szCs w:val="24"/>
        </w:rPr>
        <w:footnoteReference w:id="7"/>
      </w:r>
      <w:r w:rsidRPr="00341756">
        <w:rPr>
          <w:rFonts w:asciiTheme="majorBidi" w:hAnsiTheme="majorBidi" w:cstheme="majorBidi"/>
          <w:color w:val="auto"/>
          <w:sz w:val="24"/>
          <w:szCs w:val="24"/>
        </w:rPr>
        <w:t xml:space="preserve"> in </w:t>
      </w:r>
      <w:r w:rsidR="007F36B1" w:rsidRPr="00341756">
        <w:rPr>
          <w:rFonts w:asciiTheme="majorBidi" w:hAnsiTheme="majorBidi" w:cstheme="majorBidi"/>
          <w:color w:val="auto"/>
          <w:sz w:val="24"/>
          <w:szCs w:val="24"/>
        </w:rPr>
        <w:t xml:space="preserve">the </w:t>
      </w:r>
      <w:r w:rsidRPr="00341756">
        <w:rPr>
          <w:rFonts w:asciiTheme="majorBidi" w:hAnsiTheme="majorBidi" w:cstheme="majorBidi"/>
          <w:color w:val="auto"/>
          <w:sz w:val="24"/>
          <w:szCs w:val="24"/>
        </w:rPr>
        <w:t>Tehran Stock Exchange (TSE) during 2012-2018.</w:t>
      </w:r>
      <w:r w:rsidR="007F36B1" w:rsidRPr="00341756">
        <w:rPr>
          <w:rFonts w:asciiTheme="majorBidi" w:hAnsiTheme="majorBidi" w:cstheme="majorBidi"/>
          <w:color w:val="auto"/>
          <w:sz w:val="24"/>
          <w:szCs w:val="24"/>
        </w:rPr>
        <w:t xml:space="preserve"> </w:t>
      </w:r>
      <w:r w:rsidR="00A01734" w:rsidRPr="00341756">
        <w:rPr>
          <w:rFonts w:asciiTheme="majorBidi" w:hAnsiTheme="majorBidi" w:cstheme="majorBidi"/>
          <w:color w:val="auto"/>
          <w:sz w:val="24"/>
          <w:szCs w:val="24"/>
        </w:rPr>
        <w:t xml:space="preserve">Companies sectoral distribution is presented in Appendix 1. </w:t>
      </w:r>
      <w:r w:rsidR="007F36B1" w:rsidRPr="00341756">
        <w:rPr>
          <w:rFonts w:asciiTheme="majorBidi" w:hAnsiTheme="majorBidi" w:cstheme="majorBidi"/>
          <w:color w:val="auto"/>
          <w:sz w:val="24"/>
          <w:szCs w:val="24"/>
        </w:rPr>
        <w:t>We have two types of firms in our data set; firms with unmodified auditor’s opinion (</w:t>
      </w:r>
      <w:r w:rsidR="00910AB0" w:rsidRPr="00341756">
        <w:rPr>
          <w:rFonts w:asciiTheme="majorBidi" w:hAnsiTheme="majorBidi" w:cstheme="majorBidi"/>
          <w:color w:val="auto"/>
          <w:sz w:val="24"/>
          <w:szCs w:val="24"/>
        </w:rPr>
        <w:t>435</w:t>
      </w:r>
      <w:r w:rsidR="007F36B1" w:rsidRPr="00341756">
        <w:rPr>
          <w:rFonts w:asciiTheme="majorBidi" w:hAnsiTheme="majorBidi" w:cstheme="majorBidi"/>
          <w:color w:val="auto"/>
          <w:sz w:val="24"/>
          <w:szCs w:val="24"/>
        </w:rPr>
        <w:t xml:space="preserve"> observations) and firms with modified auditor’s opinion (</w:t>
      </w:r>
      <w:r w:rsidR="00910AB0" w:rsidRPr="00341756">
        <w:rPr>
          <w:rFonts w:asciiTheme="majorBidi" w:hAnsiTheme="majorBidi" w:cstheme="majorBidi"/>
          <w:color w:val="auto"/>
          <w:sz w:val="24"/>
          <w:szCs w:val="24"/>
        </w:rPr>
        <w:t>377</w:t>
      </w:r>
      <w:r w:rsidR="007F36B1" w:rsidRPr="00341756">
        <w:rPr>
          <w:rFonts w:asciiTheme="majorBidi" w:hAnsiTheme="majorBidi" w:cstheme="majorBidi"/>
          <w:color w:val="auto"/>
          <w:sz w:val="24"/>
          <w:szCs w:val="24"/>
        </w:rPr>
        <w:t xml:space="preserve"> observations), with </w:t>
      </w:r>
      <w:r w:rsidR="00910AB0" w:rsidRPr="00341756">
        <w:rPr>
          <w:rFonts w:asciiTheme="majorBidi" w:hAnsiTheme="majorBidi" w:cstheme="majorBidi"/>
          <w:color w:val="auto"/>
          <w:sz w:val="24"/>
          <w:szCs w:val="24"/>
        </w:rPr>
        <w:t>812</w:t>
      </w:r>
      <w:r w:rsidR="007F36B1" w:rsidRPr="00341756">
        <w:rPr>
          <w:rFonts w:asciiTheme="majorBidi" w:hAnsiTheme="majorBidi" w:cstheme="majorBidi"/>
          <w:color w:val="auto"/>
          <w:sz w:val="24"/>
          <w:szCs w:val="24"/>
        </w:rPr>
        <w:t xml:space="preserve"> observations</w:t>
      </w:r>
      <w:r w:rsidR="00721471" w:rsidRPr="00341756">
        <w:rPr>
          <w:rStyle w:val="FootnoteReference"/>
          <w:rFonts w:asciiTheme="majorBidi" w:hAnsiTheme="majorBidi" w:cstheme="majorBidi"/>
          <w:color w:val="auto"/>
          <w:sz w:val="24"/>
          <w:szCs w:val="24"/>
        </w:rPr>
        <w:footnoteReference w:id="8"/>
      </w:r>
      <w:r w:rsidR="007F36B1" w:rsidRPr="00341756">
        <w:rPr>
          <w:rFonts w:asciiTheme="majorBidi" w:hAnsiTheme="majorBidi" w:cstheme="majorBidi"/>
          <w:color w:val="auto"/>
          <w:sz w:val="24"/>
          <w:szCs w:val="24"/>
        </w:rPr>
        <w:t>.</w:t>
      </w:r>
      <w:r w:rsidR="0075360F" w:rsidRPr="00341756">
        <w:rPr>
          <w:rFonts w:asciiTheme="majorBidi" w:hAnsiTheme="majorBidi" w:cstheme="majorBidi"/>
          <w:color w:val="auto"/>
          <w:sz w:val="24"/>
          <w:szCs w:val="24"/>
        </w:rPr>
        <w:t xml:space="preserve"> The independent variable included tax avoidance. We control for corporate governance mechanism and firm characteristics</w:t>
      </w:r>
      <w:r w:rsidR="009B58C8">
        <w:rPr>
          <w:rFonts w:asciiTheme="majorBidi" w:hAnsiTheme="majorBidi" w:cstheme="majorBidi"/>
          <w:color w:val="auto"/>
          <w:sz w:val="24"/>
          <w:szCs w:val="24"/>
        </w:rPr>
        <w:t>,</w:t>
      </w:r>
      <w:r w:rsidR="0075360F" w:rsidRPr="00341756">
        <w:rPr>
          <w:rFonts w:asciiTheme="majorBidi" w:hAnsiTheme="majorBidi" w:cstheme="majorBidi"/>
          <w:color w:val="auto"/>
          <w:sz w:val="24"/>
          <w:szCs w:val="24"/>
        </w:rPr>
        <w:t xml:space="preserve"> including the board independence, CEO duality, firm size, return on assets, leverage, firm’s chance for growth, distress risk, intangible assets and auditor’s reputation.</w:t>
      </w:r>
      <w:r w:rsidR="003A231B" w:rsidRPr="00341756">
        <w:rPr>
          <w:rFonts w:asciiTheme="majorBidi" w:hAnsiTheme="majorBidi" w:cstheme="majorBidi"/>
          <w:color w:val="auto"/>
          <w:sz w:val="24"/>
          <w:szCs w:val="24"/>
        </w:rPr>
        <w:t xml:space="preserve"> </w:t>
      </w:r>
      <w:r w:rsidR="000B7991">
        <w:rPr>
          <w:rFonts w:asciiTheme="majorBidi" w:hAnsiTheme="majorBidi" w:cstheme="majorBidi"/>
          <w:color w:val="auto"/>
          <w:sz w:val="24"/>
          <w:szCs w:val="24"/>
        </w:rPr>
        <w:t>We</w:t>
      </w:r>
      <w:r w:rsidR="003A231B" w:rsidRPr="00341756">
        <w:rPr>
          <w:rFonts w:asciiTheme="majorBidi" w:hAnsiTheme="majorBidi" w:cstheme="majorBidi"/>
          <w:color w:val="auto"/>
          <w:sz w:val="24"/>
          <w:szCs w:val="24"/>
        </w:rPr>
        <w:t xml:space="preserve"> describe the variables </w:t>
      </w:r>
      <w:r w:rsidR="00837984">
        <w:rPr>
          <w:rFonts w:asciiTheme="majorBidi" w:hAnsiTheme="majorBidi" w:cstheme="majorBidi"/>
          <w:color w:val="auto"/>
          <w:sz w:val="24"/>
          <w:szCs w:val="24"/>
        </w:rPr>
        <w:t>which used</w:t>
      </w:r>
      <w:r w:rsidR="003A231B" w:rsidRPr="00341756">
        <w:rPr>
          <w:rFonts w:asciiTheme="majorBidi" w:hAnsiTheme="majorBidi" w:cstheme="majorBidi"/>
          <w:color w:val="auto"/>
          <w:sz w:val="24"/>
          <w:szCs w:val="24"/>
        </w:rPr>
        <w:t xml:space="preserve"> in our study</w:t>
      </w:r>
      <w:r w:rsidR="003A231B" w:rsidRPr="00341756">
        <w:rPr>
          <w:rStyle w:val="FootnoteReference"/>
          <w:rFonts w:asciiTheme="majorBidi" w:hAnsiTheme="majorBidi" w:cstheme="majorBidi"/>
          <w:color w:val="auto"/>
          <w:sz w:val="24"/>
          <w:szCs w:val="24"/>
        </w:rPr>
        <w:footnoteReference w:id="9"/>
      </w:r>
      <w:r w:rsidR="003A231B" w:rsidRPr="00341756">
        <w:rPr>
          <w:rFonts w:asciiTheme="majorBidi" w:hAnsiTheme="majorBidi" w:cstheme="majorBidi"/>
          <w:color w:val="auto"/>
          <w:sz w:val="24"/>
          <w:szCs w:val="24"/>
        </w:rPr>
        <w:t>.</w:t>
      </w:r>
      <w:r w:rsidR="00A01734" w:rsidRPr="00341756">
        <w:rPr>
          <w:rFonts w:asciiTheme="majorBidi" w:hAnsiTheme="majorBidi" w:cstheme="majorBidi"/>
          <w:color w:val="auto"/>
          <w:sz w:val="24"/>
          <w:szCs w:val="24"/>
        </w:rPr>
        <w:t xml:space="preserve"> </w:t>
      </w:r>
    </w:p>
    <w:p w14:paraId="3B8A199B" w14:textId="2A621D78" w:rsidR="007241AF" w:rsidRPr="00341756" w:rsidRDefault="000D530A"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Uncertainty</w:t>
      </w:r>
    </w:p>
    <w:p w14:paraId="28B9CA74" w14:textId="0B44A92D" w:rsidR="0038474B" w:rsidRPr="00341756" w:rsidRDefault="0038474B" w:rsidP="00A325F8">
      <w:pPr>
        <w:jc w:val="both"/>
        <w:rPr>
          <w:rFonts w:asciiTheme="majorBidi" w:hAnsiTheme="majorBidi" w:cstheme="majorBidi"/>
          <w:sz w:val="24"/>
          <w:szCs w:val="24"/>
        </w:rPr>
      </w:pPr>
      <w:r w:rsidRPr="00341756">
        <w:rPr>
          <w:rFonts w:asciiTheme="majorBidi" w:hAnsiTheme="majorBidi" w:cstheme="majorBidi"/>
          <w:sz w:val="24"/>
          <w:szCs w:val="24"/>
        </w:rPr>
        <w:t xml:space="preserve">Volatility Index (VIX) provides a measure of market risk and investors' sentiments (Chicago Board Options Exchange). We could not use VIX for </w:t>
      </w:r>
      <w:r w:rsidR="005A658E">
        <w:rPr>
          <w:rFonts w:asciiTheme="majorBidi" w:hAnsiTheme="majorBidi" w:cstheme="majorBidi"/>
          <w:sz w:val="24"/>
          <w:szCs w:val="24"/>
        </w:rPr>
        <w:t xml:space="preserve">the </w:t>
      </w:r>
      <w:r w:rsidRPr="00341756">
        <w:rPr>
          <w:rFonts w:asciiTheme="majorBidi" w:hAnsiTheme="majorBidi" w:cstheme="majorBidi"/>
          <w:sz w:val="24"/>
          <w:szCs w:val="24"/>
        </w:rPr>
        <w:t xml:space="preserve">Iran case since only a few big companies are allowed to use options. </w:t>
      </w:r>
      <w:r w:rsidR="006C0CD1">
        <w:rPr>
          <w:rFonts w:asciiTheme="majorBidi" w:hAnsiTheme="majorBidi" w:cstheme="majorBidi"/>
          <w:sz w:val="24"/>
          <w:szCs w:val="24"/>
        </w:rPr>
        <w:t>Hence</w:t>
      </w:r>
      <w:r w:rsidRPr="00341756">
        <w:rPr>
          <w:rFonts w:asciiTheme="majorBidi" w:hAnsiTheme="majorBidi" w:cstheme="majorBidi"/>
          <w:sz w:val="24"/>
          <w:szCs w:val="24"/>
        </w:rPr>
        <w:t xml:space="preserve">, we adapted </w:t>
      </w:r>
      <w:hyperlink w:anchor="w41" w:history="1">
        <w:r w:rsidRPr="00341756">
          <w:rPr>
            <w:rStyle w:val="Hyperlink"/>
            <w:rFonts w:asciiTheme="majorBidi" w:hAnsiTheme="majorBidi" w:cstheme="majorBidi"/>
            <w:sz w:val="24"/>
            <w:szCs w:val="24"/>
          </w:rPr>
          <w:t>Kim</w:t>
        </w:r>
        <w:r w:rsidR="001835FE" w:rsidRPr="00341756">
          <w:rPr>
            <w:rStyle w:val="Hyperlink"/>
            <w:rFonts w:asciiTheme="majorBidi" w:hAnsiTheme="majorBidi" w:cstheme="majorBidi"/>
            <w:sz w:val="24"/>
            <w:szCs w:val="24"/>
          </w:rPr>
          <w:t xml:space="preserve"> et al.</w:t>
        </w:r>
        <w:r w:rsidRPr="00341756">
          <w:rPr>
            <w:rStyle w:val="Hyperlink"/>
            <w:rFonts w:asciiTheme="majorBidi" w:hAnsiTheme="majorBidi" w:cstheme="majorBidi"/>
            <w:sz w:val="24"/>
            <w:szCs w:val="24"/>
          </w:rPr>
          <w:t xml:space="preserve"> (2010)</w:t>
        </w:r>
      </w:hyperlink>
      <w:r w:rsidRPr="00341756">
        <w:rPr>
          <w:rFonts w:asciiTheme="majorBidi" w:hAnsiTheme="majorBidi" w:cstheme="majorBidi"/>
          <w:sz w:val="24"/>
          <w:szCs w:val="24"/>
        </w:rPr>
        <w:t xml:space="preserve"> who introduced the twelve months standard deviation of market return as a tool to measure uncertainty. In this method, we obtain the monthly market return by </w:t>
      </w:r>
      <w:r w:rsidR="0073480E">
        <w:rPr>
          <w:rFonts w:asciiTheme="majorBidi" w:hAnsiTheme="majorBidi" w:cstheme="majorBidi"/>
          <w:sz w:val="24"/>
          <w:szCs w:val="24"/>
        </w:rPr>
        <w:t xml:space="preserve">the </w:t>
      </w:r>
      <w:r w:rsidRPr="00341756">
        <w:rPr>
          <w:rFonts w:asciiTheme="majorBidi" w:hAnsiTheme="majorBidi" w:cstheme="majorBidi"/>
          <w:sz w:val="24"/>
          <w:szCs w:val="24"/>
        </w:rPr>
        <w:t>difference in the dividend and price index at the beginning and the end of every month, divided by the dividend and price index at the beginning of every month:</w:t>
      </w:r>
    </w:p>
    <w:p w14:paraId="2D7B634E" w14:textId="500D4917" w:rsidR="000D530A" w:rsidRPr="00341756" w:rsidRDefault="00AB45AD" w:rsidP="007D21BB">
      <w:pPr>
        <w:jc w:val="both"/>
        <w:rPr>
          <w:rFonts w:asciiTheme="majorBidi" w:hAnsiTheme="majorBidi" w:cstheme="majorBidi"/>
          <w:sz w:val="26"/>
          <w:szCs w:val="26"/>
          <w:lang w:bidi="fa-IR"/>
        </w:rPr>
      </w:pPr>
      <m:oMathPara>
        <m:oMath>
          <m:r>
            <w:rPr>
              <w:rFonts w:ascii="Cambria Math" w:hAnsi="Cambria Math" w:cs="B Nazanin"/>
              <w:sz w:val="26"/>
              <w:szCs w:val="26"/>
              <w:lang w:bidi="fa-IR"/>
            </w:rPr>
            <m:t>M</m:t>
          </m:r>
          <m:sSub>
            <m:sSubPr>
              <m:ctrlPr>
                <w:rPr>
                  <w:rFonts w:ascii="Cambria Math" w:hAnsi="Cambria Math" w:cs="B Nazanin"/>
                  <w:i/>
                  <w:sz w:val="26"/>
                  <w:szCs w:val="26"/>
                  <w:lang w:bidi="fa-IR"/>
                </w:rPr>
              </m:ctrlPr>
            </m:sSubPr>
            <m:e>
              <m:r>
                <w:rPr>
                  <w:rFonts w:ascii="Cambria Math" w:hAnsi="Cambria Math" w:cs="B Nazanin"/>
                  <w:sz w:val="26"/>
                  <w:szCs w:val="26"/>
                  <w:lang w:bidi="fa-IR"/>
                </w:rPr>
                <m:t>U</m:t>
              </m:r>
            </m:e>
            <m:sub>
              <m:r>
                <w:rPr>
                  <w:rFonts w:ascii="Cambria Math" w:hAnsi="Cambria Math" w:cs="B Nazanin"/>
                  <w:sz w:val="26"/>
                  <w:szCs w:val="26"/>
                  <w:lang w:bidi="fa-IR"/>
                </w:rPr>
                <m:t>t</m:t>
              </m:r>
            </m:sub>
          </m:sSub>
          <m:r>
            <w:rPr>
              <w:rFonts w:ascii="Cambria Math" w:hAnsi="Cambria Math" w:cs="B Nazanin"/>
              <w:sz w:val="26"/>
              <w:szCs w:val="26"/>
              <w:lang w:bidi="fa-IR"/>
            </w:rPr>
            <m:t>=</m:t>
          </m:r>
          <m:sSubSup>
            <m:sSubSupPr>
              <m:ctrlPr>
                <w:rPr>
                  <w:rFonts w:ascii="Cambria Math" w:hAnsi="Cambria Math" w:cs="B Nazanin"/>
                  <w:i/>
                  <w:sz w:val="26"/>
                  <w:szCs w:val="26"/>
                  <w:lang w:bidi="fa-IR"/>
                </w:rPr>
              </m:ctrlPr>
            </m:sSubSupPr>
            <m:e>
              <m:r>
                <w:rPr>
                  <w:rFonts w:ascii="Cambria Math" w:hAnsi="Cambria Math" w:cs="B Nazanin"/>
                  <w:sz w:val="26"/>
                  <w:szCs w:val="26"/>
                  <w:lang w:bidi="fa-IR"/>
                </w:rPr>
                <m:t>σ</m:t>
              </m:r>
            </m:e>
            <m:sub>
              <m:r>
                <w:rPr>
                  <w:rFonts w:ascii="Cambria Math" w:hAnsi="Cambria Math" w:cs="B Nazanin"/>
                  <w:sz w:val="26"/>
                  <w:szCs w:val="26"/>
                  <w:lang w:bidi="fa-IR"/>
                </w:rPr>
                <m:t>t</m:t>
              </m:r>
            </m:sub>
            <m:sup>
              <m:sSub>
                <m:sSubPr>
                  <m:ctrlPr>
                    <w:rPr>
                      <w:rFonts w:ascii="Cambria Math" w:hAnsi="Cambria Math" w:cs="B Nazanin"/>
                      <w:i/>
                      <w:sz w:val="26"/>
                      <w:szCs w:val="26"/>
                      <w:lang w:bidi="fa-IR"/>
                    </w:rPr>
                  </m:ctrlPr>
                </m:sSubPr>
                <m:e>
                  <m:r>
                    <w:rPr>
                      <w:rFonts w:ascii="Cambria Math" w:hAnsi="Cambria Math" w:cs="B Nazanin"/>
                      <w:sz w:val="26"/>
                      <w:szCs w:val="26"/>
                      <w:lang w:bidi="fa-IR"/>
                    </w:rPr>
                    <m:t>R</m:t>
                  </m:r>
                </m:e>
                <m:sub>
                  <m:r>
                    <w:rPr>
                      <w:rFonts w:ascii="Cambria Math" w:hAnsi="Cambria Math" w:cs="B Nazanin"/>
                      <w:sz w:val="26"/>
                      <w:szCs w:val="26"/>
                      <w:lang w:bidi="fa-IR"/>
                    </w:rPr>
                    <m:t>m</m:t>
                  </m:r>
                </m:sub>
              </m:sSub>
            </m:sup>
          </m:sSubSup>
          <m:r>
            <w:rPr>
              <w:rFonts w:ascii="Cambria Math" w:hAnsi="Cambria Math" w:cs="B Nazanin"/>
              <w:sz w:val="26"/>
              <w:szCs w:val="26"/>
              <w:lang w:bidi="fa-IR"/>
            </w:rPr>
            <m:t xml:space="preserve">                                                                                                                                      (1)</m:t>
          </m:r>
        </m:oMath>
      </m:oMathPara>
    </w:p>
    <w:p w14:paraId="6719B463" w14:textId="77777777" w:rsidR="00AA122E" w:rsidRPr="00341756" w:rsidRDefault="00AB45AD" w:rsidP="007D21BB">
      <w:pPr>
        <w:jc w:val="both"/>
        <w:rPr>
          <w:rFonts w:asciiTheme="majorBidi" w:hAnsiTheme="majorBidi" w:cstheme="majorBidi"/>
          <w:sz w:val="24"/>
          <w:szCs w:val="24"/>
        </w:rPr>
      </w:pPr>
      <w:r w:rsidRPr="00341756">
        <w:rPr>
          <w:rFonts w:asciiTheme="majorBidi" w:hAnsiTheme="majorBidi" w:cstheme="majorBidi"/>
          <w:sz w:val="24"/>
          <w:szCs w:val="24"/>
        </w:rPr>
        <w:t>Where</w:t>
      </w:r>
      <w:r w:rsidR="00AA122E" w:rsidRPr="00341756">
        <w:rPr>
          <w:rFonts w:asciiTheme="majorBidi" w:hAnsiTheme="majorBidi" w:cstheme="majorBidi"/>
          <w:sz w:val="24"/>
          <w:szCs w:val="24"/>
        </w:rPr>
        <w:t>;</w:t>
      </w:r>
    </w:p>
    <w:p w14:paraId="4C3D755E" w14:textId="15DC8B66" w:rsidR="00AA122E" w:rsidRPr="00341756" w:rsidRDefault="00AB45AD" w:rsidP="007D21BB">
      <w:pPr>
        <w:jc w:val="both"/>
        <w:rPr>
          <w:rFonts w:asciiTheme="majorBidi" w:hAnsiTheme="majorBidi" w:cstheme="majorBidi"/>
          <w:sz w:val="24"/>
          <w:szCs w:val="24"/>
        </w:rPr>
      </w:pPr>
      <w:proofErr w:type="spellStart"/>
      <w:r w:rsidRPr="00341756">
        <w:rPr>
          <w:rFonts w:asciiTheme="majorBidi" w:hAnsiTheme="majorBidi" w:cstheme="majorBidi"/>
          <w:sz w:val="24"/>
          <w:szCs w:val="24"/>
        </w:rPr>
        <w:t>MU</w:t>
      </w:r>
      <w:r w:rsidR="007C10B4" w:rsidRPr="00341756">
        <w:rPr>
          <w:rFonts w:asciiTheme="majorBidi" w:hAnsiTheme="majorBidi" w:cstheme="majorBidi"/>
          <w:sz w:val="24"/>
          <w:szCs w:val="24"/>
          <w:vertAlign w:val="subscript"/>
        </w:rPr>
        <w:t>t</w:t>
      </w:r>
      <w:proofErr w:type="spellEnd"/>
      <w:r w:rsidR="00AA122E" w:rsidRPr="00341756">
        <w:rPr>
          <w:rFonts w:asciiTheme="majorBidi" w:hAnsiTheme="majorBidi" w:cstheme="majorBidi"/>
          <w:sz w:val="24"/>
          <w:szCs w:val="24"/>
        </w:rPr>
        <w:t>: U</w:t>
      </w:r>
      <w:r w:rsidRPr="00341756">
        <w:rPr>
          <w:rFonts w:asciiTheme="majorBidi" w:hAnsiTheme="majorBidi" w:cstheme="majorBidi"/>
          <w:sz w:val="24"/>
          <w:szCs w:val="24"/>
        </w:rPr>
        <w:t xml:space="preserve">ncertainty in time t. </w:t>
      </w:r>
    </w:p>
    <w:p w14:paraId="507DD530" w14:textId="5158F4AC" w:rsidR="00AA122E" w:rsidRPr="00341756" w:rsidRDefault="00AB45AD" w:rsidP="007D21BB">
      <w:pPr>
        <w:jc w:val="both"/>
        <w:rPr>
          <w:rFonts w:asciiTheme="majorBidi" w:hAnsiTheme="majorBidi" w:cstheme="majorBidi"/>
          <w:sz w:val="24"/>
          <w:szCs w:val="24"/>
        </w:rPr>
      </w:pPr>
      <w:r w:rsidRPr="00341756">
        <w:rPr>
          <w:rFonts w:ascii="Cambria Math" w:hAnsi="Cambria Math" w:cs="Cambria Math"/>
          <w:sz w:val="24"/>
          <w:szCs w:val="24"/>
        </w:rPr>
        <w:lastRenderedPageBreak/>
        <w:t>𝜎</w:t>
      </w:r>
      <w:r w:rsidR="007C10B4" w:rsidRPr="00341756">
        <w:rPr>
          <w:rFonts w:ascii="Cambria Math" w:hAnsi="Cambria Math" w:cs="Cambria Math"/>
          <w:sz w:val="24"/>
          <w:szCs w:val="24"/>
          <w:vertAlign w:val="subscript"/>
        </w:rPr>
        <w:t>t</w:t>
      </w:r>
      <w:r w:rsidR="00AA122E" w:rsidRPr="00341756">
        <w:rPr>
          <w:rFonts w:asciiTheme="majorBidi" w:hAnsiTheme="majorBidi" w:cstheme="majorBidi"/>
          <w:sz w:val="24"/>
          <w:szCs w:val="24"/>
        </w:rPr>
        <w:t>: S</w:t>
      </w:r>
      <w:r w:rsidRPr="00341756">
        <w:rPr>
          <w:rFonts w:asciiTheme="majorBidi" w:hAnsiTheme="majorBidi" w:cstheme="majorBidi"/>
          <w:sz w:val="24"/>
          <w:szCs w:val="24"/>
        </w:rPr>
        <w:t>tandard deviation of</w:t>
      </w:r>
      <w:r w:rsidR="00AA122E" w:rsidRPr="00341756">
        <w:rPr>
          <w:rFonts w:asciiTheme="majorBidi" w:hAnsiTheme="majorBidi" w:cstheme="majorBidi"/>
          <w:sz w:val="24"/>
          <w:szCs w:val="24"/>
        </w:rPr>
        <w:t xml:space="preserve"> </w:t>
      </w:r>
      <w:r w:rsidRPr="00341756">
        <w:rPr>
          <w:rFonts w:asciiTheme="majorBidi" w:hAnsiTheme="majorBidi" w:cstheme="majorBidi"/>
          <w:sz w:val="24"/>
          <w:szCs w:val="24"/>
        </w:rPr>
        <w:t>market return</w:t>
      </w:r>
      <w:r w:rsidR="007C10B4" w:rsidRPr="00341756">
        <w:rPr>
          <w:rFonts w:asciiTheme="majorBidi" w:hAnsiTheme="majorBidi" w:cstheme="majorBidi"/>
          <w:sz w:val="24"/>
          <w:szCs w:val="24"/>
        </w:rPr>
        <w:t xml:space="preserve"> in time t</w:t>
      </w:r>
      <w:r w:rsidRPr="00341756">
        <w:rPr>
          <w:rFonts w:asciiTheme="majorBidi" w:hAnsiTheme="majorBidi" w:cstheme="majorBidi"/>
          <w:sz w:val="24"/>
          <w:szCs w:val="24"/>
        </w:rPr>
        <w:t xml:space="preserve"> </w:t>
      </w:r>
    </w:p>
    <w:p w14:paraId="719D7555" w14:textId="3DEA5F2E" w:rsidR="00AB45AD" w:rsidRPr="00341756" w:rsidRDefault="00AA122E" w:rsidP="007D21BB">
      <w:pPr>
        <w:jc w:val="both"/>
        <w:rPr>
          <w:rFonts w:asciiTheme="majorBidi" w:hAnsiTheme="majorBidi" w:cstheme="majorBidi"/>
          <w:sz w:val="24"/>
          <w:szCs w:val="24"/>
        </w:rPr>
      </w:pPr>
      <w:proofErr w:type="spellStart"/>
      <w:r w:rsidRPr="00341756">
        <w:rPr>
          <w:rFonts w:asciiTheme="majorBidi" w:hAnsiTheme="majorBidi" w:cstheme="majorBidi"/>
          <w:sz w:val="24"/>
          <w:szCs w:val="24"/>
        </w:rPr>
        <w:t>R</w:t>
      </w:r>
      <w:r w:rsidR="007C10B4" w:rsidRPr="00341756">
        <w:rPr>
          <w:rFonts w:asciiTheme="majorBidi" w:hAnsiTheme="majorBidi" w:cstheme="majorBidi"/>
          <w:sz w:val="24"/>
          <w:szCs w:val="24"/>
          <w:vertAlign w:val="subscript"/>
        </w:rPr>
        <w:t>mt</w:t>
      </w:r>
      <w:proofErr w:type="spellEnd"/>
      <w:r w:rsidRPr="00341756">
        <w:rPr>
          <w:rFonts w:asciiTheme="majorBidi" w:hAnsiTheme="majorBidi" w:cstheme="majorBidi"/>
          <w:sz w:val="24"/>
          <w:szCs w:val="24"/>
        </w:rPr>
        <w:t xml:space="preserve"> (market return) is </w:t>
      </w:r>
      <w:r w:rsidR="00AB45AD" w:rsidRPr="00341756">
        <w:rPr>
          <w:rFonts w:asciiTheme="majorBidi" w:hAnsiTheme="majorBidi" w:cstheme="majorBidi"/>
          <w:sz w:val="24"/>
          <w:szCs w:val="24"/>
        </w:rPr>
        <w:t>calculated</w:t>
      </w:r>
      <w:r w:rsidRPr="00341756">
        <w:rPr>
          <w:rFonts w:asciiTheme="majorBidi" w:hAnsiTheme="majorBidi" w:cstheme="majorBidi"/>
          <w:sz w:val="24"/>
          <w:szCs w:val="24"/>
        </w:rPr>
        <w:t xml:space="preserve"> as </w:t>
      </w:r>
      <w:r w:rsidR="0038474B" w:rsidRPr="00341756">
        <w:rPr>
          <w:rFonts w:asciiTheme="majorBidi" w:hAnsiTheme="majorBidi" w:cstheme="majorBidi"/>
          <w:sz w:val="24"/>
          <w:szCs w:val="24"/>
        </w:rPr>
        <w:t xml:space="preserve">the </w:t>
      </w:r>
      <w:r w:rsidRPr="00341756">
        <w:rPr>
          <w:rFonts w:asciiTheme="majorBidi" w:hAnsiTheme="majorBidi" w:cstheme="majorBidi"/>
          <w:sz w:val="24"/>
          <w:szCs w:val="24"/>
        </w:rPr>
        <w:t>following</w:t>
      </w:r>
      <w:r w:rsidR="00AB45AD" w:rsidRPr="00341756">
        <w:rPr>
          <w:rFonts w:asciiTheme="majorBidi" w:hAnsiTheme="majorBidi" w:cstheme="majorBidi"/>
          <w:sz w:val="24"/>
          <w:szCs w:val="24"/>
        </w:rPr>
        <w:t>:</w:t>
      </w:r>
    </w:p>
    <w:p w14:paraId="40AB4174" w14:textId="77777777" w:rsidR="00AB45AD" w:rsidRPr="00341756" w:rsidRDefault="007021F1" w:rsidP="007D21BB">
      <w:pPr>
        <w:jc w:val="both"/>
        <w:rPr>
          <w:rFonts w:asciiTheme="majorBidi" w:hAnsiTheme="majorBidi" w:cstheme="majorBidi"/>
          <w:sz w:val="26"/>
          <w:szCs w:val="26"/>
          <w:lang w:bidi="fa-IR"/>
        </w:rPr>
      </w:pPr>
      <m:oMathPara>
        <m:oMath>
          <m:sSub>
            <m:sSubPr>
              <m:ctrlPr>
                <w:rPr>
                  <w:rFonts w:ascii="Cambria Math" w:hAnsi="Cambria Math" w:cs="B Nazanin"/>
                  <w:i/>
                  <w:sz w:val="26"/>
                  <w:szCs w:val="26"/>
                  <w:lang w:bidi="fa-IR"/>
                </w:rPr>
              </m:ctrlPr>
            </m:sSubPr>
            <m:e>
              <m:r>
                <w:rPr>
                  <w:rFonts w:ascii="Cambria Math" w:hAnsi="Cambria Math" w:cs="B Nazanin"/>
                  <w:sz w:val="26"/>
                  <w:szCs w:val="26"/>
                  <w:lang w:bidi="fa-IR"/>
                </w:rPr>
                <m:t>R</m:t>
              </m:r>
            </m:e>
            <m:sub>
              <m:r>
                <w:rPr>
                  <w:rFonts w:ascii="Cambria Math" w:hAnsi="Cambria Math" w:cs="B Nazanin"/>
                  <w:sz w:val="26"/>
                  <w:szCs w:val="26"/>
                  <w:lang w:bidi="fa-IR"/>
                </w:rPr>
                <m:t>mt</m:t>
              </m:r>
            </m:sub>
          </m:sSub>
          <m:r>
            <w:rPr>
              <w:rFonts w:ascii="Cambria Math" w:hAnsi="Cambria Math" w:cs="B Nazanin"/>
              <w:sz w:val="26"/>
              <w:szCs w:val="26"/>
              <w:lang w:bidi="fa-IR"/>
            </w:rPr>
            <m:t>=</m:t>
          </m:r>
          <m:f>
            <m:fPr>
              <m:ctrlPr>
                <w:rPr>
                  <w:rFonts w:ascii="Cambria Math" w:hAnsi="Cambria Math" w:cs="B Nazanin"/>
                  <w:i/>
                  <w:sz w:val="26"/>
                  <w:szCs w:val="26"/>
                  <w:lang w:bidi="fa-IR"/>
                </w:rPr>
              </m:ctrlPr>
            </m:fPr>
            <m:num>
              <m:sSub>
                <m:sSubPr>
                  <m:ctrlPr>
                    <w:rPr>
                      <w:rFonts w:ascii="Cambria Math" w:hAnsi="Cambria Math" w:cs="B Nazanin"/>
                      <w:i/>
                      <w:sz w:val="26"/>
                      <w:szCs w:val="26"/>
                      <w:lang w:bidi="fa-IR"/>
                    </w:rPr>
                  </m:ctrlPr>
                </m:sSubPr>
                <m:e>
                  <m:r>
                    <w:rPr>
                      <w:rFonts w:ascii="Cambria Math" w:hAnsi="Cambria Math" w:cs="B Nazanin"/>
                      <w:sz w:val="26"/>
                      <w:szCs w:val="26"/>
                      <w:lang w:bidi="fa-IR"/>
                    </w:rPr>
                    <m:t>Im</m:t>
                  </m:r>
                </m:e>
                <m:sub>
                  <m:r>
                    <w:rPr>
                      <w:rFonts w:ascii="Cambria Math" w:hAnsi="Cambria Math" w:cs="B Nazanin"/>
                      <w:sz w:val="26"/>
                      <w:szCs w:val="26"/>
                      <w:lang w:bidi="fa-IR"/>
                    </w:rPr>
                    <m:t>t</m:t>
                  </m:r>
                </m:sub>
              </m:sSub>
              <m:r>
                <w:rPr>
                  <w:rFonts w:ascii="Cambria Math" w:hAnsi="Cambria Math" w:cs="B Nazanin"/>
                  <w:sz w:val="26"/>
                  <w:szCs w:val="26"/>
                  <w:lang w:bidi="fa-IR"/>
                </w:rPr>
                <m:t>-</m:t>
              </m:r>
              <m:sSub>
                <m:sSubPr>
                  <m:ctrlPr>
                    <w:rPr>
                      <w:rFonts w:ascii="Cambria Math" w:hAnsi="Cambria Math" w:cs="B Nazanin"/>
                      <w:i/>
                      <w:sz w:val="26"/>
                      <w:szCs w:val="26"/>
                      <w:lang w:bidi="fa-IR"/>
                    </w:rPr>
                  </m:ctrlPr>
                </m:sSubPr>
                <m:e>
                  <m:r>
                    <w:rPr>
                      <w:rFonts w:ascii="Cambria Math" w:hAnsi="Cambria Math" w:cs="B Nazanin"/>
                      <w:sz w:val="26"/>
                      <w:szCs w:val="26"/>
                      <w:lang w:bidi="fa-IR"/>
                    </w:rPr>
                    <m:t>Im</m:t>
                  </m:r>
                </m:e>
                <m:sub>
                  <m:r>
                    <w:rPr>
                      <w:rFonts w:ascii="Cambria Math" w:hAnsi="Cambria Math" w:cs="B Nazanin"/>
                      <w:sz w:val="26"/>
                      <w:szCs w:val="26"/>
                      <w:lang w:bidi="fa-IR"/>
                    </w:rPr>
                    <m:t>t-1</m:t>
                  </m:r>
                </m:sub>
              </m:sSub>
            </m:num>
            <m:den>
              <m:sSub>
                <m:sSubPr>
                  <m:ctrlPr>
                    <w:rPr>
                      <w:rFonts w:ascii="Cambria Math" w:hAnsi="Cambria Math" w:cs="B Nazanin"/>
                      <w:i/>
                      <w:sz w:val="26"/>
                      <w:szCs w:val="26"/>
                      <w:lang w:bidi="fa-IR"/>
                    </w:rPr>
                  </m:ctrlPr>
                </m:sSubPr>
                <m:e>
                  <m:r>
                    <w:rPr>
                      <w:rFonts w:ascii="Cambria Math" w:hAnsi="Cambria Math" w:cs="B Nazanin"/>
                      <w:sz w:val="26"/>
                      <w:szCs w:val="26"/>
                      <w:lang w:bidi="fa-IR"/>
                    </w:rPr>
                    <m:t>Im</m:t>
                  </m:r>
                </m:e>
                <m:sub>
                  <m:r>
                    <w:rPr>
                      <w:rFonts w:ascii="Cambria Math" w:hAnsi="Cambria Math" w:cs="B Nazanin"/>
                      <w:sz w:val="26"/>
                      <w:szCs w:val="26"/>
                      <w:lang w:bidi="fa-IR"/>
                    </w:rPr>
                    <m:t>t-1</m:t>
                  </m:r>
                </m:sub>
              </m:sSub>
            </m:den>
          </m:f>
          <m:r>
            <w:rPr>
              <w:rFonts w:ascii="Cambria Math" w:hAnsi="Cambria Math" w:cs="B Nazanin"/>
              <w:sz w:val="26"/>
              <w:szCs w:val="26"/>
              <w:lang w:bidi="fa-IR"/>
            </w:rPr>
            <m:t xml:space="preserve">                                                                                                                       (2)</m:t>
          </m:r>
        </m:oMath>
      </m:oMathPara>
    </w:p>
    <w:p w14:paraId="04FAD77C" w14:textId="5388FDF8" w:rsidR="00AB45AD" w:rsidRPr="00341756" w:rsidRDefault="00AA122E" w:rsidP="007D21BB">
      <w:pPr>
        <w:jc w:val="both"/>
        <w:rPr>
          <w:rFonts w:asciiTheme="majorBidi" w:hAnsiTheme="majorBidi" w:cstheme="majorBidi"/>
          <w:sz w:val="24"/>
          <w:szCs w:val="24"/>
        </w:rPr>
      </w:pPr>
      <w:proofErr w:type="spellStart"/>
      <w:r w:rsidRPr="00341756">
        <w:rPr>
          <w:rFonts w:asciiTheme="majorBidi" w:hAnsiTheme="majorBidi" w:cstheme="majorBidi"/>
          <w:sz w:val="24"/>
          <w:szCs w:val="24"/>
        </w:rPr>
        <w:t>Im</w:t>
      </w:r>
      <w:proofErr w:type="spellEnd"/>
      <w:r w:rsidRPr="00341756">
        <w:rPr>
          <w:rFonts w:asciiTheme="majorBidi" w:hAnsiTheme="majorBidi" w:cstheme="majorBidi"/>
          <w:sz w:val="24"/>
          <w:szCs w:val="24"/>
        </w:rPr>
        <w:t xml:space="preserve">: </w:t>
      </w:r>
      <w:r w:rsidR="00B75617" w:rsidRPr="00341756">
        <w:rPr>
          <w:rFonts w:asciiTheme="majorBidi" w:hAnsiTheme="majorBidi" w:cstheme="majorBidi"/>
          <w:sz w:val="24"/>
          <w:szCs w:val="24"/>
        </w:rPr>
        <w:t>S</w:t>
      </w:r>
      <w:r w:rsidR="00AB45AD" w:rsidRPr="00341756">
        <w:rPr>
          <w:rFonts w:asciiTheme="majorBidi" w:hAnsiTheme="majorBidi" w:cstheme="majorBidi"/>
          <w:sz w:val="24"/>
          <w:szCs w:val="24"/>
        </w:rPr>
        <w:t>tock market return</w:t>
      </w:r>
      <w:r w:rsidR="00B75617" w:rsidRPr="00341756">
        <w:rPr>
          <w:rFonts w:asciiTheme="majorBidi" w:hAnsiTheme="majorBidi" w:cstheme="majorBidi"/>
          <w:sz w:val="24"/>
          <w:szCs w:val="24"/>
        </w:rPr>
        <w:t xml:space="preserve"> </w:t>
      </w:r>
      <w:r w:rsidR="00AB45AD" w:rsidRPr="00341756">
        <w:rPr>
          <w:rFonts w:asciiTheme="majorBidi" w:hAnsiTheme="majorBidi" w:cstheme="majorBidi"/>
          <w:sz w:val="24"/>
          <w:szCs w:val="24"/>
        </w:rPr>
        <w:t xml:space="preserve">measured by the dividend and price index at the end of </w:t>
      </w:r>
      <w:r w:rsidR="0038474B" w:rsidRPr="00341756">
        <w:rPr>
          <w:rFonts w:asciiTheme="majorBidi" w:hAnsiTheme="majorBidi" w:cstheme="majorBidi"/>
          <w:sz w:val="24"/>
          <w:szCs w:val="24"/>
        </w:rPr>
        <w:t xml:space="preserve">the </w:t>
      </w:r>
      <w:r w:rsidR="00AB45AD" w:rsidRPr="00341756">
        <w:rPr>
          <w:rFonts w:asciiTheme="majorBidi" w:hAnsiTheme="majorBidi" w:cstheme="majorBidi"/>
          <w:sz w:val="24"/>
          <w:szCs w:val="24"/>
        </w:rPr>
        <w:t xml:space="preserve">month </w:t>
      </w:r>
      <w:r w:rsidR="00B75617" w:rsidRPr="00341756">
        <w:rPr>
          <w:rFonts w:asciiTheme="majorBidi" w:hAnsiTheme="majorBidi" w:cstheme="majorBidi"/>
          <w:sz w:val="24"/>
          <w:szCs w:val="24"/>
        </w:rPr>
        <w:t>(</w:t>
      </w:r>
      <w:r w:rsidR="00AB45AD" w:rsidRPr="00341756">
        <w:rPr>
          <w:rFonts w:asciiTheme="majorBidi" w:hAnsiTheme="majorBidi" w:cstheme="majorBidi"/>
          <w:sz w:val="24"/>
          <w:szCs w:val="24"/>
        </w:rPr>
        <w:t>t</w:t>
      </w:r>
      <w:r w:rsidR="00B75617" w:rsidRPr="00341756">
        <w:rPr>
          <w:rFonts w:asciiTheme="majorBidi" w:hAnsiTheme="majorBidi" w:cstheme="majorBidi"/>
          <w:sz w:val="24"/>
          <w:szCs w:val="24"/>
        </w:rPr>
        <w:t>)</w:t>
      </w:r>
      <w:r w:rsidR="00AB45AD" w:rsidRPr="00341756">
        <w:rPr>
          <w:rFonts w:asciiTheme="majorBidi" w:hAnsiTheme="majorBidi" w:cstheme="majorBidi"/>
          <w:sz w:val="24"/>
          <w:szCs w:val="24"/>
        </w:rPr>
        <w:t xml:space="preserve"> and </w:t>
      </w:r>
      <w:r w:rsidR="00B75617" w:rsidRPr="00341756">
        <w:rPr>
          <w:rFonts w:asciiTheme="majorBidi" w:hAnsiTheme="majorBidi" w:cstheme="majorBidi"/>
          <w:sz w:val="24"/>
          <w:szCs w:val="24"/>
        </w:rPr>
        <w:t>(</w:t>
      </w:r>
      <w:r w:rsidR="00AB45AD" w:rsidRPr="00341756">
        <w:rPr>
          <w:rFonts w:asciiTheme="majorBidi" w:hAnsiTheme="majorBidi" w:cstheme="majorBidi"/>
          <w:sz w:val="24"/>
          <w:szCs w:val="24"/>
        </w:rPr>
        <w:t>t-</w:t>
      </w:r>
      <w:r w:rsidR="00B75617" w:rsidRPr="00341756">
        <w:rPr>
          <w:rFonts w:asciiTheme="majorBidi" w:hAnsiTheme="majorBidi" w:cstheme="majorBidi"/>
          <w:sz w:val="24"/>
          <w:szCs w:val="24"/>
        </w:rPr>
        <w:t>1)</w:t>
      </w:r>
    </w:p>
    <w:p w14:paraId="26296972" w14:textId="3B2258DE" w:rsidR="00AB45AD" w:rsidRPr="00341756" w:rsidRDefault="00FD77F1"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Tax Avoidance</w:t>
      </w:r>
    </w:p>
    <w:p w14:paraId="1DBEF323" w14:textId="614BE27D" w:rsidR="00EC3822" w:rsidRPr="00341756" w:rsidRDefault="00EC3822" w:rsidP="00E23FE5">
      <w:pPr>
        <w:jc w:val="both"/>
        <w:rPr>
          <w:rFonts w:asciiTheme="majorBidi" w:hAnsiTheme="majorBidi" w:cstheme="majorBidi"/>
          <w:sz w:val="24"/>
          <w:szCs w:val="24"/>
        </w:rPr>
      </w:pPr>
      <w:r w:rsidRPr="00341756">
        <w:rPr>
          <w:rFonts w:asciiTheme="majorBidi" w:hAnsiTheme="majorBidi" w:cstheme="majorBidi"/>
          <w:sz w:val="24"/>
          <w:szCs w:val="24"/>
        </w:rPr>
        <w:t xml:space="preserve">We </w:t>
      </w:r>
      <w:r w:rsidR="007C10B4" w:rsidRPr="00341756">
        <w:rPr>
          <w:rFonts w:asciiTheme="majorBidi" w:hAnsiTheme="majorBidi" w:cstheme="majorBidi"/>
          <w:sz w:val="24"/>
          <w:szCs w:val="24"/>
        </w:rPr>
        <w:t xml:space="preserve">use the </w:t>
      </w:r>
      <w:r w:rsidRPr="00341756">
        <w:rPr>
          <w:rFonts w:asciiTheme="majorBidi" w:hAnsiTheme="majorBidi" w:cstheme="majorBidi"/>
          <w:sz w:val="24"/>
          <w:szCs w:val="24"/>
        </w:rPr>
        <w:t xml:space="preserve">effective tax rate </w:t>
      </w:r>
      <w:r w:rsidR="007C10B4" w:rsidRPr="00341756">
        <w:rPr>
          <w:rFonts w:asciiTheme="majorBidi" w:hAnsiTheme="majorBidi" w:cstheme="majorBidi"/>
          <w:sz w:val="24"/>
          <w:szCs w:val="24"/>
        </w:rPr>
        <w:t xml:space="preserve">to indicate the firm’s </w:t>
      </w:r>
      <w:r w:rsidRPr="00341756">
        <w:rPr>
          <w:rFonts w:asciiTheme="majorBidi" w:hAnsiTheme="majorBidi" w:cstheme="majorBidi"/>
          <w:sz w:val="24"/>
          <w:szCs w:val="24"/>
        </w:rPr>
        <w:t xml:space="preserve">tax avoidance. </w:t>
      </w:r>
      <w:hyperlink w:anchor="w82" w:history="1">
        <w:proofErr w:type="spellStart"/>
        <w:r w:rsidR="00750B7B" w:rsidRPr="008B1DEF">
          <w:rPr>
            <w:rStyle w:val="Hyperlink"/>
            <w:rFonts w:asciiTheme="majorBidi" w:hAnsiTheme="majorBidi" w:cstheme="majorBidi"/>
            <w:sz w:val="24"/>
            <w:szCs w:val="24"/>
            <w:highlight w:val="yellow"/>
          </w:rPr>
          <w:t>Gouveia</w:t>
        </w:r>
        <w:proofErr w:type="spellEnd"/>
        <w:r w:rsidR="00750B7B" w:rsidRPr="008B1DEF">
          <w:rPr>
            <w:rStyle w:val="Hyperlink"/>
            <w:rFonts w:asciiTheme="majorBidi" w:hAnsiTheme="majorBidi" w:cstheme="majorBidi"/>
            <w:sz w:val="24"/>
            <w:szCs w:val="24"/>
            <w:highlight w:val="yellow"/>
          </w:rPr>
          <w:t xml:space="preserve"> and Strauss (1994)</w:t>
        </w:r>
      </w:hyperlink>
      <w:r w:rsidR="00750B7B" w:rsidRPr="008B1DEF">
        <w:rPr>
          <w:rFonts w:asciiTheme="majorBidi" w:hAnsiTheme="majorBidi" w:cstheme="majorBidi"/>
          <w:sz w:val="24"/>
          <w:szCs w:val="24"/>
          <w:highlight w:val="yellow"/>
        </w:rPr>
        <w:t xml:space="preserve"> who estimate an effective tax function </w:t>
      </w:r>
      <w:r w:rsidR="00B45914" w:rsidRPr="008B1DEF">
        <w:rPr>
          <w:rFonts w:asciiTheme="majorBidi" w:hAnsiTheme="majorBidi" w:cstheme="majorBidi"/>
          <w:sz w:val="24"/>
          <w:szCs w:val="24"/>
          <w:highlight w:val="yellow"/>
        </w:rPr>
        <w:t xml:space="preserve">which </w:t>
      </w:r>
      <w:r w:rsidR="00750B7B" w:rsidRPr="008B1DEF">
        <w:rPr>
          <w:rFonts w:asciiTheme="majorBidi" w:hAnsiTheme="majorBidi" w:cstheme="majorBidi"/>
          <w:sz w:val="24"/>
          <w:szCs w:val="24"/>
          <w:highlight w:val="yellow"/>
        </w:rPr>
        <w:t xml:space="preserve">relates the actual tax burden to economic income. </w:t>
      </w:r>
      <w:hyperlink w:anchor="w80" w:history="1">
        <w:proofErr w:type="spellStart"/>
        <w:r w:rsidR="0044049F" w:rsidRPr="008B1DEF">
          <w:rPr>
            <w:rStyle w:val="Hyperlink"/>
            <w:rFonts w:asciiTheme="majorBidi" w:hAnsiTheme="majorBidi" w:cstheme="majorBidi"/>
            <w:sz w:val="24"/>
            <w:szCs w:val="24"/>
            <w:highlight w:val="yellow"/>
          </w:rPr>
          <w:t>Dyreng</w:t>
        </w:r>
        <w:proofErr w:type="spellEnd"/>
        <w:r w:rsidR="0044049F" w:rsidRPr="008B1DEF">
          <w:rPr>
            <w:rStyle w:val="Hyperlink"/>
            <w:rFonts w:asciiTheme="majorBidi" w:hAnsiTheme="majorBidi" w:cstheme="majorBidi"/>
            <w:sz w:val="24"/>
            <w:szCs w:val="24"/>
            <w:highlight w:val="yellow"/>
          </w:rPr>
          <w:t xml:space="preserve"> et al. (2008)</w:t>
        </w:r>
      </w:hyperlink>
      <w:r w:rsidR="0044049F" w:rsidRPr="008B1DEF">
        <w:rPr>
          <w:rFonts w:asciiTheme="majorBidi" w:hAnsiTheme="majorBidi" w:cstheme="majorBidi"/>
          <w:sz w:val="24"/>
          <w:szCs w:val="24"/>
          <w:highlight w:val="yellow"/>
        </w:rPr>
        <w:t xml:space="preserve"> said</w:t>
      </w:r>
      <w:r w:rsidR="0044049F" w:rsidRPr="00341756">
        <w:rPr>
          <w:rFonts w:asciiTheme="majorBidi" w:hAnsiTheme="majorBidi" w:cstheme="majorBidi"/>
          <w:sz w:val="24"/>
          <w:szCs w:val="24"/>
        </w:rPr>
        <w:t xml:space="preserve"> the </w:t>
      </w:r>
      <w:r w:rsidRPr="00341756">
        <w:rPr>
          <w:rFonts w:asciiTheme="majorBidi" w:hAnsiTheme="majorBidi" w:cstheme="majorBidi"/>
          <w:sz w:val="24"/>
          <w:szCs w:val="24"/>
        </w:rPr>
        <w:t>lower</w:t>
      </w:r>
      <w:r w:rsidR="007C10B4" w:rsidRPr="00341756">
        <w:rPr>
          <w:rFonts w:asciiTheme="majorBidi" w:hAnsiTheme="majorBidi" w:cstheme="majorBidi"/>
          <w:sz w:val="24"/>
          <w:szCs w:val="24"/>
        </w:rPr>
        <w:t xml:space="preserve"> the</w:t>
      </w:r>
      <w:r w:rsidRPr="00341756">
        <w:rPr>
          <w:rFonts w:asciiTheme="majorBidi" w:hAnsiTheme="majorBidi" w:cstheme="majorBidi"/>
          <w:sz w:val="24"/>
          <w:szCs w:val="24"/>
        </w:rPr>
        <w:t xml:space="preserve"> effective tax rate, the higher </w:t>
      </w:r>
      <w:r w:rsidR="007C10B4" w:rsidRPr="00341756">
        <w:rPr>
          <w:rFonts w:asciiTheme="majorBidi" w:hAnsiTheme="majorBidi" w:cstheme="majorBidi"/>
          <w:sz w:val="24"/>
          <w:szCs w:val="24"/>
        </w:rPr>
        <w:t>the</w:t>
      </w:r>
      <w:r w:rsidRPr="00341756">
        <w:rPr>
          <w:rFonts w:asciiTheme="majorBidi" w:hAnsiTheme="majorBidi" w:cstheme="majorBidi"/>
          <w:sz w:val="24"/>
          <w:szCs w:val="24"/>
        </w:rPr>
        <w:t xml:space="preserve"> tax avoidance. </w:t>
      </w:r>
      <w:r w:rsidR="0038474B" w:rsidRPr="00341756">
        <w:rPr>
          <w:rFonts w:asciiTheme="majorBidi" w:hAnsiTheme="majorBidi" w:cstheme="majorBidi"/>
          <w:sz w:val="24"/>
          <w:szCs w:val="24"/>
        </w:rPr>
        <w:t>The e</w:t>
      </w:r>
      <w:r w:rsidRPr="00341756">
        <w:rPr>
          <w:rFonts w:asciiTheme="majorBidi" w:hAnsiTheme="majorBidi" w:cstheme="majorBidi"/>
          <w:sz w:val="24"/>
          <w:szCs w:val="24"/>
        </w:rPr>
        <w:t xml:space="preserve">ffective tax rate is calculated as the average ratio of tax cost to the average pre-tax earnings during the last three years </w:t>
      </w:r>
      <w:r w:rsidR="007C10B4" w:rsidRPr="00341756">
        <w:rPr>
          <w:rFonts w:asciiTheme="majorBidi" w:hAnsiTheme="majorBidi" w:cstheme="majorBidi"/>
          <w:sz w:val="24"/>
          <w:szCs w:val="24"/>
        </w:rPr>
        <w:t>(</w:t>
      </w:r>
      <w:proofErr w:type="spellStart"/>
      <w:r w:rsidR="008C53F0">
        <w:fldChar w:fldCharType="begin"/>
      </w:r>
      <w:r w:rsidR="008C53F0">
        <w:instrText xml:space="preserve"> HYPERLINK \l "w42" </w:instrText>
      </w:r>
      <w:r w:rsidR="008C53F0">
        <w:fldChar w:fldCharType="separate"/>
      </w:r>
      <w:r w:rsidR="001835FE" w:rsidRPr="00341756">
        <w:rPr>
          <w:rStyle w:val="Hyperlink"/>
          <w:rFonts w:asciiTheme="majorBidi" w:hAnsiTheme="majorBidi" w:cstheme="majorBidi"/>
          <w:sz w:val="24"/>
          <w:szCs w:val="24"/>
        </w:rPr>
        <w:t>Badertscher</w:t>
      </w:r>
      <w:proofErr w:type="spellEnd"/>
      <w:r w:rsidR="001835FE" w:rsidRPr="00341756">
        <w:rPr>
          <w:rStyle w:val="Hyperlink"/>
          <w:rFonts w:asciiTheme="majorBidi" w:hAnsiTheme="majorBidi" w:cstheme="majorBidi"/>
          <w:sz w:val="24"/>
          <w:szCs w:val="24"/>
        </w:rPr>
        <w:t xml:space="preserve"> et al.</w:t>
      </w:r>
      <w:r w:rsidR="007C10B4" w:rsidRPr="00341756">
        <w:rPr>
          <w:rStyle w:val="Hyperlink"/>
          <w:rFonts w:asciiTheme="majorBidi" w:hAnsiTheme="majorBidi" w:cstheme="majorBidi"/>
          <w:sz w:val="24"/>
          <w:szCs w:val="24"/>
        </w:rPr>
        <w:t xml:space="preserve">, </w:t>
      </w:r>
      <w:r w:rsidRPr="00341756">
        <w:rPr>
          <w:rStyle w:val="Hyperlink"/>
          <w:rFonts w:asciiTheme="majorBidi" w:hAnsiTheme="majorBidi" w:cstheme="majorBidi"/>
          <w:sz w:val="24"/>
          <w:szCs w:val="24"/>
        </w:rPr>
        <w:t>2013</w:t>
      </w:r>
      <w:r w:rsidR="008C53F0">
        <w:rPr>
          <w:rStyle w:val="Hyperlink"/>
          <w:rFonts w:asciiTheme="majorBidi" w:hAnsiTheme="majorBidi" w:cstheme="majorBidi"/>
          <w:sz w:val="24"/>
          <w:szCs w:val="24"/>
        </w:rPr>
        <w:fldChar w:fldCharType="end"/>
      </w:r>
      <w:r w:rsidR="007C10B4" w:rsidRPr="00341756">
        <w:rPr>
          <w:rFonts w:asciiTheme="majorBidi" w:hAnsiTheme="majorBidi" w:cstheme="majorBidi"/>
          <w:sz w:val="24"/>
          <w:szCs w:val="24"/>
        </w:rPr>
        <w:t xml:space="preserve">; </w:t>
      </w:r>
      <w:hyperlink w:anchor="w12" w:history="1">
        <w:proofErr w:type="spellStart"/>
        <w:r w:rsidR="001835FE" w:rsidRPr="00341756">
          <w:rPr>
            <w:rStyle w:val="Hyperlink"/>
            <w:rFonts w:asciiTheme="majorBidi" w:hAnsiTheme="majorBidi" w:cstheme="majorBidi"/>
            <w:sz w:val="24"/>
            <w:szCs w:val="24"/>
          </w:rPr>
          <w:t>Dyreng</w:t>
        </w:r>
        <w:proofErr w:type="spellEnd"/>
        <w:r w:rsidR="001835FE" w:rsidRPr="00341756">
          <w:rPr>
            <w:rStyle w:val="Hyperlink"/>
            <w:rFonts w:asciiTheme="majorBidi" w:hAnsiTheme="majorBidi" w:cstheme="majorBidi"/>
            <w:sz w:val="24"/>
            <w:szCs w:val="24"/>
          </w:rPr>
          <w:t xml:space="preserve"> et al.</w:t>
        </w:r>
        <w:r w:rsidR="007C10B4" w:rsidRPr="00341756">
          <w:rPr>
            <w:rStyle w:val="Hyperlink"/>
            <w:rFonts w:asciiTheme="majorBidi" w:hAnsiTheme="majorBidi" w:cstheme="majorBidi"/>
            <w:sz w:val="24"/>
            <w:szCs w:val="24"/>
          </w:rPr>
          <w:t xml:space="preserve">, </w:t>
        </w:r>
        <w:r w:rsidRPr="00341756">
          <w:rPr>
            <w:rStyle w:val="Hyperlink"/>
            <w:rFonts w:asciiTheme="majorBidi" w:hAnsiTheme="majorBidi" w:cstheme="majorBidi"/>
            <w:sz w:val="24"/>
            <w:szCs w:val="24"/>
          </w:rPr>
          <w:t>2019</w:t>
        </w:r>
      </w:hyperlink>
      <w:r w:rsidRPr="00341756">
        <w:rPr>
          <w:rFonts w:asciiTheme="majorBidi" w:hAnsiTheme="majorBidi" w:cstheme="majorBidi"/>
          <w:sz w:val="24"/>
          <w:szCs w:val="24"/>
        </w:rPr>
        <w:t>).</w:t>
      </w:r>
    </w:p>
    <w:p w14:paraId="41824C73" w14:textId="34F6E486" w:rsidR="00EC3822" w:rsidRPr="00341756" w:rsidRDefault="00EC3822"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Auditor’s Opinion</w:t>
      </w:r>
    </w:p>
    <w:p w14:paraId="3EBB9D3C" w14:textId="2F2FEF82" w:rsidR="00D57D46" w:rsidRPr="00341756" w:rsidRDefault="00D57D46" w:rsidP="00F5000C">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 xml:space="preserve">In Iran, the auditor’s opinion is given in two </w:t>
      </w:r>
      <w:proofErr w:type="gramStart"/>
      <w:r w:rsidRPr="00341756">
        <w:rPr>
          <w:rFonts w:asciiTheme="majorBidi" w:hAnsiTheme="majorBidi" w:cstheme="majorBidi"/>
          <w:color w:val="000000" w:themeColor="text1"/>
          <w:sz w:val="24"/>
          <w:szCs w:val="24"/>
        </w:rPr>
        <w:t>formats</w:t>
      </w:r>
      <w:r w:rsidR="00243487" w:rsidRPr="00341756">
        <w:rPr>
          <w:rFonts w:asciiTheme="majorBidi" w:hAnsiTheme="majorBidi" w:cstheme="majorBidi"/>
          <w:color w:val="000000" w:themeColor="text1"/>
          <w:sz w:val="24"/>
          <w:szCs w:val="24"/>
        </w:rPr>
        <w:t>;</w:t>
      </w:r>
      <w:r w:rsidRPr="00341756">
        <w:rPr>
          <w:rFonts w:asciiTheme="majorBidi" w:hAnsiTheme="majorBidi" w:cstheme="majorBidi"/>
          <w:color w:val="000000" w:themeColor="text1"/>
          <w:sz w:val="24"/>
          <w:szCs w:val="24"/>
        </w:rPr>
        <w:t xml:space="preserve">  unmodified</w:t>
      </w:r>
      <w:proofErr w:type="gramEnd"/>
      <w:r w:rsidRPr="00341756">
        <w:rPr>
          <w:rFonts w:asciiTheme="majorBidi" w:hAnsiTheme="majorBidi" w:cstheme="majorBidi"/>
          <w:color w:val="000000" w:themeColor="text1"/>
          <w:sz w:val="24"/>
          <w:szCs w:val="24"/>
        </w:rPr>
        <w:t xml:space="preserve"> and modified</w:t>
      </w:r>
      <w:r w:rsidR="00127C28" w:rsidRPr="00341756">
        <w:rPr>
          <w:rFonts w:asciiTheme="majorBidi" w:hAnsiTheme="majorBidi" w:cstheme="majorBidi"/>
          <w:color w:val="000000" w:themeColor="text1"/>
          <w:sz w:val="24"/>
          <w:szCs w:val="24"/>
        </w:rPr>
        <w:t xml:space="preserve"> based on the obtained auditing evidence</w:t>
      </w:r>
      <w:r w:rsidRPr="00341756">
        <w:rPr>
          <w:rFonts w:asciiTheme="majorBidi" w:hAnsiTheme="majorBidi" w:cstheme="majorBidi"/>
          <w:color w:val="000000" w:themeColor="text1"/>
          <w:sz w:val="24"/>
          <w:szCs w:val="24"/>
        </w:rPr>
        <w:t xml:space="preserve">. </w:t>
      </w:r>
      <w:r w:rsidR="00127C28" w:rsidRPr="00341756">
        <w:rPr>
          <w:rFonts w:asciiTheme="majorBidi" w:hAnsiTheme="majorBidi" w:cstheme="majorBidi"/>
          <w:color w:val="000000" w:themeColor="text1"/>
          <w:sz w:val="24"/>
          <w:szCs w:val="24"/>
        </w:rPr>
        <w:t>The unmodified opinion is given w</w:t>
      </w:r>
      <w:r w:rsidRPr="00341756">
        <w:rPr>
          <w:rFonts w:asciiTheme="majorBidi" w:hAnsiTheme="majorBidi" w:cstheme="majorBidi"/>
          <w:color w:val="000000" w:themeColor="text1"/>
          <w:sz w:val="24"/>
          <w:szCs w:val="24"/>
        </w:rPr>
        <w:t xml:space="preserve">hen all financial statements are </w:t>
      </w:r>
      <w:r w:rsidR="00127C28" w:rsidRPr="00341756">
        <w:rPr>
          <w:rFonts w:asciiTheme="majorBidi" w:hAnsiTheme="majorBidi" w:cstheme="majorBidi"/>
          <w:color w:val="000000" w:themeColor="text1"/>
          <w:sz w:val="24"/>
          <w:szCs w:val="24"/>
        </w:rPr>
        <w:t xml:space="preserve">correct </w:t>
      </w:r>
      <w:r w:rsidRPr="00341756">
        <w:rPr>
          <w:rFonts w:asciiTheme="majorBidi" w:hAnsiTheme="majorBidi" w:cstheme="majorBidi"/>
          <w:color w:val="000000" w:themeColor="text1"/>
          <w:sz w:val="24"/>
          <w:szCs w:val="24"/>
        </w:rPr>
        <w:t>and accurate without any misstatements.</w:t>
      </w:r>
      <w:r w:rsidR="00127C28" w:rsidRPr="00341756">
        <w:rPr>
          <w:rFonts w:asciiTheme="majorBidi" w:hAnsiTheme="majorBidi" w:cstheme="majorBidi"/>
          <w:color w:val="000000" w:themeColor="text1"/>
          <w:sz w:val="24"/>
          <w:szCs w:val="24"/>
        </w:rPr>
        <w:t xml:space="preserve"> While</w:t>
      </w:r>
      <w:r w:rsidR="00847002">
        <w:rPr>
          <w:rFonts w:asciiTheme="majorBidi" w:hAnsiTheme="majorBidi" w:cstheme="majorBidi"/>
          <w:color w:val="000000" w:themeColor="text1"/>
          <w:sz w:val="24"/>
          <w:szCs w:val="24"/>
        </w:rPr>
        <w:t>,</w:t>
      </w:r>
      <w:r w:rsidR="00127C28" w:rsidRPr="00341756">
        <w:rPr>
          <w:rFonts w:asciiTheme="majorBidi" w:hAnsiTheme="majorBidi" w:cstheme="majorBidi"/>
          <w:color w:val="000000" w:themeColor="text1"/>
          <w:sz w:val="24"/>
          <w:szCs w:val="24"/>
        </w:rPr>
        <w:t xml:space="preserve"> the modified opinion is given if the auditor concludes any misstatements in the financial statements. </w:t>
      </w:r>
      <w:r w:rsidRPr="00341756">
        <w:rPr>
          <w:rFonts w:asciiTheme="majorBidi" w:hAnsiTheme="majorBidi" w:cstheme="majorBidi"/>
          <w:color w:val="000000" w:themeColor="text1"/>
          <w:sz w:val="24"/>
          <w:szCs w:val="24"/>
        </w:rPr>
        <w:t xml:space="preserve">The modified opinion </w:t>
      </w:r>
      <w:r w:rsidR="00127C28" w:rsidRPr="00341756">
        <w:rPr>
          <w:rFonts w:asciiTheme="majorBidi" w:hAnsiTheme="majorBidi" w:cstheme="majorBidi"/>
          <w:color w:val="000000" w:themeColor="text1"/>
          <w:sz w:val="24"/>
          <w:szCs w:val="24"/>
        </w:rPr>
        <w:t>takes any of three</w:t>
      </w:r>
      <w:r w:rsidRPr="00341756">
        <w:rPr>
          <w:rFonts w:asciiTheme="majorBidi" w:hAnsiTheme="majorBidi" w:cstheme="majorBidi"/>
          <w:color w:val="000000" w:themeColor="text1"/>
          <w:sz w:val="24"/>
          <w:szCs w:val="24"/>
        </w:rPr>
        <w:t xml:space="preserve"> formats</w:t>
      </w:r>
      <w:r w:rsidR="00127C28" w:rsidRPr="00341756">
        <w:rPr>
          <w:rFonts w:asciiTheme="majorBidi" w:hAnsiTheme="majorBidi" w:cstheme="majorBidi"/>
          <w:color w:val="000000" w:themeColor="text1"/>
          <w:sz w:val="24"/>
          <w:szCs w:val="24"/>
        </w:rPr>
        <w:t>;</w:t>
      </w:r>
      <w:r w:rsidRPr="00341756">
        <w:rPr>
          <w:rFonts w:asciiTheme="majorBidi" w:hAnsiTheme="majorBidi" w:cstheme="majorBidi"/>
          <w:color w:val="000000" w:themeColor="text1"/>
          <w:sz w:val="24"/>
          <w:szCs w:val="24"/>
        </w:rPr>
        <w:t xml:space="preserve"> conditional, rejected, </w:t>
      </w:r>
      <w:r w:rsidR="00127C28" w:rsidRPr="00341756">
        <w:rPr>
          <w:rFonts w:asciiTheme="majorBidi" w:hAnsiTheme="majorBidi" w:cstheme="majorBidi"/>
          <w:color w:val="000000" w:themeColor="text1"/>
          <w:sz w:val="24"/>
          <w:szCs w:val="24"/>
        </w:rPr>
        <w:t xml:space="preserve">and </w:t>
      </w:r>
      <w:r w:rsidRPr="00341756">
        <w:rPr>
          <w:rFonts w:asciiTheme="majorBidi" w:hAnsiTheme="majorBidi" w:cstheme="majorBidi"/>
          <w:color w:val="000000" w:themeColor="text1"/>
          <w:sz w:val="24"/>
          <w:szCs w:val="24"/>
        </w:rPr>
        <w:t xml:space="preserve">without any opinion. </w:t>
      </w:r>
      <w:r w:rsidR="00127C28" w:rsidRPr="00341756">
        <w:rPr>
          <w:rFonts w:asciiTheme="majorBidi" w:hAnsiTheme="majorBidi" w:cstheme="majorBidi"/>
          <w:color w:val="000000" w:themeColor="text1"/>
          <w:sz w:val="24"/>
          <w:szCs w:val="24"/>
        </w:rPr>
        <w:t>We consider the auditor’s opinion as a dummy variable; 0 for the unmodified opinion and 1 for the modified (</w:t>
      </w:r>
      <w:hyperlink w:anchor="w43" w:history="1">
        <w:r w:rsidR="00EE6DC4" w:rsidRPr="00341756">
          <w:rPr>
            <w:rStyle w:val="Hyperlink"/>
            <w:rFonts w:asciiTheme="majorBidi" w:hAnsiTheme="majorBidi" w:cstheme="majorBidi"/>
            <w:sz w:val="24"/>
            <w:szCs w:val="24"/>
          </w:rPr>
          <w:t>Chen et al.</w:t>
        </w:r>
        <w:r w:rsidR="00127C28" w:rsidRPr="00341756">
          <w:rPr>
            <w:rStyle w:val="Hyperlink"/>
            <w:rFonts w:asciiTheme="majorBidi" w:hAnsiTheme="majorBidi" w:cstheme="majorBidi"/>
            <w:sz w:val="24"/>
            <w:szCs w:val="24"/>
          </w:rPr>
          <w:t xml:space="preserve">, </w:t>
        </w:r>
        <w:r w:rsidRPr="00341756">
          <w:rPr>
            <w:rStyle w:val="Hyperlink"/>
            <w:rFonts w:asciiTheme="majorBidi" w:hAnsiTheme="majorBidi" w:cstheme="majorBidi"/>
            <w:sz w:val="24"/>
            <w:szCs w:val="24"/>
          </w:rPr>
          <w:t>2013</w:t>
        </w:r>
      </w:hyperlink>
      <w:r w:rsidR="00127C28" w:rsidRPr="00341756">
        <w:rPr>
          <w:rFonts w:asciiTheme="majorBidi" w:hAnsiTheme="majorBidi" w:cstheme="majorBidi"/>
          <w:color w:val="000000" w:themeColor="text1"/>
          <w:sz w:val="24"/>
          <w:szCs w:val="24"/>
        </w:rPr>
        <w:t>;</w:t>
      </w:r>
      <w:r w:rsidRPr="00341756">
        <w:rPr>
          <w:rFonts w:asciiTheme="majorBidi" w:hAnsiTheme="majorBidi" w:cstheme="majorBidi"/>
          <w:color w:val="000000" w:themeColor="text1"/>
          <w:sz w:val="24"/>
          <w:szCs w:val="24"/>
        </w:rPr>
        <w:t xml:space="preserve"> </w:t>
      </w:r>
      <w:hyperlink w:anchor="w44" w:history="1">
        <w:r w:rsidRPr="00341756">
          <w:rPr>
            <w:rStyle w:val="Hyperlink"/>
            <w:rFonts w:asciiTheme="majorBidi" w:hAnsiTheme="majorBidi" w:cstheme="majorBidi"/>
            <w:sz w:val="24"/>
            <w:szCs w:val="24"/>
          </w:rPr>
          <w:t>Cano-Rodr</w:t>
        </w:r>
        <w:r w:rsidR="00EE6DC4" w:rsidRPr="00341756">
          <w:rPr>
            <w:rStyle w:val="Hyperlink"/>
            <w:rFonts w:asciiTheme="majorBidi" w:hAnsiTheme="majorBidi" w:cstheme="majorBidi"/>
            <w:sz w:val="24"/>
            <w:szCs w:val="24"/>
          </w:rPr>
          <w:t>íguez et al.</w:t>
        </w:r>
        <w:r w:rsidR="00127C28" w:rsidRPr="00341756">
          <w:rPr>
            <w:rStyle w:val="Hyperlink"/>
            <w:rFonts w:asciiTheme="majorBidi" w:hAnsiTheme="majorBidi" w:cstheme="majorBidi"/>
            <w:sz w:val="24"/>
            <w:szCs w:val="24"/>
          </w:rPr>
          <w:t xml:space="preserve">, </w:t>
        </w:r>
        <w:r w:rsidRPr="00341756">
          <w:rPr>
            <w:rStyle w:val="Hyperlink"/>
            <w:rFonts w:asciiTheme="majorBidi" w:hAnsiTheme="majorBidi" w:cstheme="majorBidi"/>
            <w:sz w:val="24"/>
            <w:szCs w:val="24"/>
          </w:rPr>
          <w:t>2016</w:t>
        </w:r>
      </w:hyperlink>
      <w:r w:rsidRPr="00341756">
        <w:rPr>
          <w:rFonts w:asciiTheme="majorBidi" w:hAnsiTheme="majorBidi" w:cstheme="majorBidi"/>
          <w:color w:val="000000" w:themeColor="text1"/>
          <w:sz w:val="24"/>
          <w:szCs w:val="24"/>
        </w:rPr>
        <w:t>)</w:t>
      </w:r>
      <w:r w:rsidR="00127C28" w:rsidRPr="00341756">
        <w:rPr>
          <w:rFonts w:asciiTheme="majorBidi" w:hAnsiTheme="majorBidi" w:cstheme="majorBidi"/>
          <w:color w:val="000000" w:themeColor="text1"/>
          <w:sz w:val="24"/>
          <w:szCs w:val="24"/>
        </w:rPr>
        <w:t>.</w:t>
      </w:r>
    </w:p>
    <w:p w14:paraId="3E8BEF3F" w14:textId="7579EFD1" w:rsidR="000D530A" w:rsidRPr="00341756" w:rsidRDefault="00FD5B56" w:rsidP="007D21BB">
      <w:pPr>
        <w:ind w:left="720"/>
        <w:jc w:val="both"/>
        <w:rPr>
          <w:rFonts w:asciiTheme="majorBidi" w:hAnsiTheme="majorBidi" w:cstheme="majorBidi"/>
          <w:b/>
          <w:bCs/>
          <w:i/>
          <w:iCs/>
          <w:color w:val="000000" w:themeColor="text1"/>
          <w:sz w:val="24"/>
          <w:szCs w:val="24"/>
        </w:rPr>
      </w:pPr>
      <w:r w:rsidRPr="00341756">
        <w:rPr>
          <w:rFonts w:asciiTheme="majorBidi" w:hAnsiTheme="majorBidi" w:cstheme="majorBidi"/>
          <w:b/>
          <w:bCs/>
          <w:i/>
          <w:iCs/>
          <w:color w:val="000000" w:themeColor="text1"/>
          <w:sz w:val="24"/>
          <w:szCs w:val="24"/>
        </w:rPr>
        <w:t>Government Ownership</w:t>
      </w:r>
    </w:p>
    <w:p w14:paraId="2179C28D" w14:textId="5D041BA0" w:rsidR="006F1C64" w:rsidRPr="00341756" w:rsidRDefault="00124682" w:rsidP="00A601AE">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Government ownership is defined as the firm’s share range belongs to the government or its subordinate organizations (</w:t>
      </w:r>
      <w:proofErr w:type="spellStart"/>
      <w:r w:rsidR="008C53F0">
        <w:fldChar w:fldCharType="begin"/>
      </w:r>
      <w:r w:rsidR="008C53F0">
        <w:instrText xml:space="preserve"> HYPERLINK \l "w45" </w:instrText>
      </w:r>
      <w:r w:rsidR="008C53F0">
        <w:fldChar w:fldCharType="separate"/>
      </w:r>
      <w:r w:rsidRPr="00341756">
        <w:rPr>
          <w:rStyle w:val="Hyperlink"/>
          <w:rFonts w:asciiTheme="majorBidi" w:hAnsiTheme="majorBidi" w:cstheme="majorBidi"/>
          <w:sz w:val="24"/>
          <w:szCs w:val="24"/>
        </w:rPr>
        <w:t>Delios</w:t>
      </w:r>
      <w:proofErr w:type="spellEnd"/>
      <w:r w:rsidR="00915DB1" w:rsidRPr="00341756">
        <w:rPr>
          <w:rStyle w:val="Hyperlink"/>
          <w:rFonts w:asciiTheme="majorBidi" w:hAnsiTheme="majorBidi" w:cstheme="majorBidi"/>
          <w:sz w:val="24"/>
          <w:szCs w:val="24"/>
        </w:rPr>
        <w:t xml:space="preserve"> et al.,</w:t>
      </w:r>
      <w:r w:rsidRPr="00341756">
        <w:rPr>
          <w:rStyle w:val="Hyperlink"/>
          <w:rFonts w:asciiTheme="majorBidi" w:hAnsiTheme="majorBidi" w:cstheme="majorBidi"/>
          <w:sz w:val="24"/>
          <w:szCs w:val="24"/>
        </w:rPr>
        <w:t xml:space="preserve"> 2008</w:t>
      </w:r>
      <w:r w:rsidR="008C53F0">
        <w:rPr>
          <w:rStyle w:val="Hyperlink"/>
          <w:rFonts w:asciiTheme="majorBidi" w:hAnsiTheme="majorBidi" w:cstheme="majorBidi"/>
          <w:sz w:val="24"/>
          <w:szCs w:val="24"/>
        </w:rPr>
        <w:fldChar w:fldCharType="end"/>
      </w:r>
      <w:r w:rsidRPr="00341756">
        <w:rPr>
          <w:rFonts w:asciiTheme="majorBidi" w:hAnsiTheme="majorBidi" w:cstheme="majorBidi"/>
          <w:color w:val="000000" w:themeColor="text1"/>
          <w:sz w:val="24"/>
          <w:szCs w:val="24"/>
        </w:rPr>
        <w:t xml:space="preserve">; </w:t>
      </w:r>
      <w:hyperlink w:anchor="w46" w:history="1">
        <w:r w:rsidRPr="00341756">
          <w:rPr>
            <w:rStyle w:val="Hyperlink"/>
            <w:rFonts w:asciiTheme="majorBidi" w:hAnsiTheme="majorBidi" w:cstheme="majorBidi"/>
            <w:sz w:val="24"/>
            <w:szCs w:val="24"/>
          </w:rPr>
          <w:t xml:space="preserve">Liu &amp; </w:t>
        </w:r>
        <w:proofErr w:type="spellStart"/>
        <w:r w:rsidRPr="00341756">
          <w:rPr>
            <w:rStyle w:val="Hyperlink"/>
            <w:rFonts w:asciiTheme="majorBidi" w:hAnsiTheme="majorBidi" w:cstheme="majorBidi"/>
            <w:sz w:val="24"/>
            <w:szCs w:val="24"/>
          </w:rPr>
          <w:t>Subramaniam</w:t>
        </w:r>
        <w:proofErr w:type="spellEnd"/>
        <w:r w:rsidRPr="00341756">
          <w:rPr>
            <w:rStyle w:val="Hyperlink"/>
            <w:rFonts w:asciiTheme="majorBidi" w:hAnsiTheme="majorBidi" w:cstheme="majorBidi"/>
            <w:sz w:val="24"/>
            <w:szCs w:val="24"/>
          </w:rPr>
          <w:t>, 2013</w:t>
        </w:r>
      </w:hyperlink>
      <w:r w:rsidRPr="00341756">
        <w:rPr>
          <w:rFonts w:asciiTheme="majorBidi" w:hAnsiTheme="majorBidi" w:cstheme="majorBidi"/>
          <w:color w:val="000000" w:themeColor="text1"/>
          <w:sz w:val="24"/>
          <w:szCs w:val="24"/>
        </w:rPr>
        <w:t xml:space="preserve">; </w:t>
      </w:r>
      <w:hyperlink w:anchor="w47" w:history="1">
        <w:r w:rsidRPr="00341756">
          <w:rPr>
            <w:rStyle w:val="Hyperlink"/>
            <w:rFonts w:asciiTheme="majorBidi" w:hAnsiTheme="majorBidi" w:cstheme="majorBidi"/>
            <w:sz w:val="24"/>
            <w:szCs w:val="24"/>
          </w:rPr>
          <w:t>Huang</w:t>
        </w:r>
        <w:r w:rsidR="00915DB1" w:rsidRPr="00341756">
          <w:rPr>
            <w:rStyle w:val="Hyperlink"/>
            <w:rFonts w:asciiTheme="majorBidi" w:hAnsiTheme="majorBidi" w:cstheme="majorBidi"/>
            <w:sz w:val="24"/>
            <w:szCs w:val="24"/>
          </w:rPr>
          <w:t xml:space="preserve"> et al.</w:t>
        </w:r>
        <w:r w:rsidRPr="00341756">
          <w:rPr>
            <w:rStyle w:val="Hyperlink"/>
            <w:rFonts w:asciiTheme="majorBidi" w:hAnsiTheme="majorBidi" w:cstheme="majorBidi"/>
            <w:sz w:val="24"/>
            <w:szCs w:val="24"/>
          </w:rPr>
          <w:t>, 2018</w:t>
        </w:r>
      </w:hyperlink>
      <w:r w:rsidRPr="00341756">
        <w:rPr>
          <w:rFonts w:asciiTheme="majorBidi" w:hAnsiTheme="majorBidi" w:cstheme="majorBidi"/>
          <w:color w:val="000000" w:themeColor="text1"/>
          <w:sz w:val="24"/>
          <w:szCs w:val="24"/>
        </w:rPr>
        <w:t>). We collect shareholders</w:t>
      </w:r>
      <w:r w:rsidR="0038474B" w:rsidRPr="00341756">
        <w:rPr>
          <w:rFonts w:asciiTheme="majorBidi" w:hAnsiTheme="majorBidi" w:cstheme="majorBidi"/>
          <w:color w:val="000000" w:themeColor="text1"/>
          <w:sz w:val="24"/>
          <w:szCs w:val="24"/>
        </w:rPr>
        <w:t>’</w:t>
      </w:r>
      <w:r w:rsidRPr="00341756">
        <w:rPr>
          <w:rFonts w:asciiTheme="majorBidi" w:hAnsiTheme="majorBidi" w:cstheme="majorBidi"/>
          <w:color w:val="000000" w:themeColor="text1"/>
          <w:sz w:val="24"/>
          <w:szCs w:val="24"/>
        </w:rPr>
        <w:t xml:space="preserve"> structure and composition of big companies from the firm’s annual </w:t>
      </w:r>
      <w:r w:rsidR="007437E0" w:rsidRPr="00341756">
        <w:rPr>
          <w:rFonts w:asciiTheme="majorBidi" w:hAnsiTheme="majorBidi" w:cstheme="majorBidi"/>
          <w:color w:val="000000" w:themeColor="text1"/>
          <w:sz w:val="24"/>
          <w:szCs w:val="24"/>
        </w:rPr>
        <w:t>report</w:t>
      </w:r>
      <w:r w:rsidRPr="00341756">
        <w:rPr>
          <w:rFonts w:asciiTheme="majorBidi" w:hAnsiTheme="majorBidi" w:cstheme="majorBidi"/>
          <w:color w:val="000000" w:themeColor="text1"/>
          <w:sz w:val="24"/>
          <w:szCs w:val="24"/>
        </w:rPr>
        <w:t>s</w:t>
      </w:r>
      <w:r w:rsidR="007437E0" w:rsidRPr="00341756">
        <w:rPr>
          <w:rFonts w:asciiTheme="majorBidi" w:hAnsiTheme="majorBidi" w:cstheme="majorBidi"/>
          <w:color w:val="000000" w:themeColor="text1"/>
          <w:sz w:val="24"/>
          <w:szCs w:val="24"/>
        </w:rPr>
        <w:t xml:space="preserve"> published</w:t>
      </w:r>
      <w:r w:rsidR="00243487" w:rsidRPr="00341756">
        <w:rPr>
          <w:rFonts w:asciiTheme="majorBidi" w:hAnsiTheme="majorBidi" w:cstheme="majorBidi"/>
          <w:color w:val="000000" w:themeColor="text1"/>
          <w:sz w:val="24"/>
          <w:szCs w:val="24"/>
        </w:rPr>
        <w:t xml:space="preserve"> in CODAL</w:t>
      </w:r>
      <w:r w:rsidR="00243487" w:rsidRPr="00341756">
        <w:rPr>
          <w:rStyle w:val="FootnoteReference"/>
          <w:rFonts w:asciiTheme="majorBidi" w:hAnsiTheme="majorBidi" w:cstheme="majorBidi"/>
          <w:color w:val="000000" w:themeColor="text1"/>
          <w:sz w:val="24"/>
          <w:szCs w:val="24"/>
        </w:rPr>
        <w:footnoteReference w:id="10"/>
      </w:r>
      <w:r w:rsidR="00243487" w:rsidRPr="00341756">
        <w:rPr>
          <w:rFonts w:asciiTheme="majorBidi" w:hAnsiTheme="majorBidi" w:cstheme="majorBidi"/>
          <w:color w:val="000000" w:themeColor="text1"/>
          <w:sz w:val="24"/>
          <w:szCs w:val="24"/>
        </w:rPr>
        <w:t>.</w:t>
      </w:r>
      <w:r w:rsidR="007437E0" w:rsidRPr="00341756">
        <w:rPr>
          <w:rFonts w:asciiTheme="majorBidi" w:hAnsiTheme="majorBidi" w:cstheme="majorBidi"/>
          <w:color w:val="000000" w:themeColor="text1"/>
          <w:sz w:val="24"/>
          <w:szCs w:val="24"/>
        </w:rPr>
        <w:t xml:space="preserve"> </w:t>
      </w:r>
    </w:p>
    <w:p w14:paraId="734F9069" w14:textId="77777777" w:rsidR="00C26815" w:rsidRPr="00341756" w:rsidRDefault="006F1C64" w:rsidP="007D21BB">
      <w:pPr>
        <w:ind w:left="720"/>
        <w:jc w:val="both"/>
        <w:rPr>
          <w:rFonts w:asciiTheme="majorBidi" w:hAnsiTheme="majorBidi" w:cstheme="majorBidi"/>
          <w:b/>
          <w:bCs/>
          <w:i/>
          <w:iCs/>
          <w:color w:val="000000" w:themeColor="text1"/>
          <w:sz w:val="24"/>
          <w:szCs w:val="24"/>
        </w:rPr>
      </w:pPr>
      <w:r w:rsidRPr="00341756">
        <w:rPr>
          <w:rFonts w:asciiTheme="majorBidi" w:hAnsiTheme="majorBidi" w:cstheme="majorBidi"/>
          <w:b/>
          <w:bCs/>
          <w:i/>
          <w:iCs/>
          <w:color w:val="000000" w:themeColor="text1"/>
          <w:sz w:val="24"/>
          <w:szCs w:val="24"/>
        </w:rPr>
        <w:t xml:space="preserve">The board independence </w:t>
      </w:r>
    </w:p>
    <w:p w14:paraId="24371F33" w14:textId="132C3FD4" w:rsidR="006F1C64" w:rsidRPr="00341756" w:rsidRDefault="0038474B" w:rsidP="009978BA">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B</w:t>
      </w:r>
      <w:r w:rsidR="00795810" w:rsidRPr="00341756">
        <w:rPr>
          <w:rFonts w:asciiTheme="majorBidi" w:hAnsiTheme="majorBidi" w:cstheme="majorBidi"/>
          <w:color w:val="000000" w:themeColor="text1"/>
          <w:sz w:val="24"/>
          <w:szCs w:val="24"/>
        </w:rPr>
        <w:t xml:space="preserve">oard independence indicates the corporate governance </w:t>
      </w:r>
      <w:proofErr w:type="spellStart"/>
      <w:r w:rsidR="00795810" w:rsidRPr="00341756">
        <w:rPr>
          <w:rFonts w:asciiTheme="majorBidi" w:hAnsiTheme="majorBidi" w:cstheme="majorBidi"/>
          <w:color w:val="000000" w:themeColor="text1"/>
          <w:sz w:val="24"/>
          <w:szCs w:val="24"/>
        </w:rPr>
        <w:t>mechanism.The</w:t>
      </w:r>
      <w:proofErr w:type="spellEnd"/>
      <w:r w:rsidR="00795810" w:rsidRPr="00341756">
        <w:rPr>
          <w:rFonts w:asciiTheme="majorBidi" w:hAnsiTheme="majorBidi" w:cstheme="majorBidi"/>
          <w:color w:val="000000" w:themeColor="text1"/>
          <w:sz w:val="24"/>
          <w:szCs w:val="24"/>
        </w:rPr>
        <w:t xml:space="preserve"> inside directors are beholden to CEO</w:t>
      </w:r>
      <w:r w:rsidR="00D00ACA">
        <w:rPr>
          <w:rFonts w:asciiTheme="majorBidi" w:hAnsiTheme="majorBidi" w:cstheme="majorBidi"/>
          <w:color w:val="000000" w:themeColor="text1"/>
          <w:sz w:val="24"/>
          <w:szCs w:val="24"/>
        </w:rPr>
        <w:t>,</w:t>
      </w:r>
      <w:r w:rsidR="00795810" w:rsidRPr="00341756">
        <w:rPr>
          <w:rFonts w:asciiTheme="majorBidi" w:hAnsiTheme="majorBidi" w:cstheme="majorBidi"/>
          <w:color w:val="000000" w:themeColor="text1"/>
          <w:sz w:val="24"/>
          <w:szCs w:val="24"/>
        </w:rPr>
        <w:t xml:space="preserve"> and a greater proportion of inside directors on the board indicates greater CEO power and board control</w:t>
      </w:r>
      <w:r w:rsidR="00243487" w:rsidRPr="00341756">
        <w:rPr>
          <w:rFonts w:asciiTheme="majorBidi" w:hAnsiTheme="majorBidi" w:cstheme="majorBidi"/>
          <w:color w:val="000000" w:themeColor="text1"/>
          <w:sz w:val="24"/>
          <w:szCs w:val="24"/>
        </w:rPr>
        <w:t xml:space="preserve"> </w:t>
      </w:r>
      <w:r w:rsidR="00795810" w:rsidRPr="00341756">
        <w:rPr>
          <w:rFonts w:asciiTheme="majorBidi" w:hAnsiTheme="majorBidi" w:cstheme="majorBidi"/>
          <w:color w:val="000000" w:themeColor="text1"/>
          <w:sz w:val="24"/>
          <w:szCs w:val="24"/>
        </w:rPr>
        <w:t>(</w:t>
      </w:r>
      <w:proofErr w:type="spellStart"/>
      <w:r w:rsidR="008C53F0">
        <w:fldChar w:fldCharType="begin"/>
      </w:r>
      <w:r w:rsidR="008C53F0">
        <w:instrText xml:space="preserve"> HYPERLINK \l "w48" </w:instrText>
      </w:r>
      <w:r w:rsidR="008C53F0">
        <w:fldChar w:fldCharType="separate"/>
      </w:r>
      <w:r w:rsidR="00795810" w:rsidRPr="00341756">
        <w:rPr>
          <w:rStyle w:val="Hyperlink"/>
          <w:rFonts w:asciiTheme="majorBidi" w:hAnsiTheme="majorBidi" w:cstheme="majorBidi"/>
          <w:sz w:val="24"/>
          <w:szCs w:val="24"/>
        </w:rPr>
        <w:t>Hermalin</w:t>
      </w:r>
      <w:proofErr w:type="spellEnd"/>
      <w:r w:rsidR="00795810" w:rsidRPr="00341756">
        <w:rPr>
          <w:rStyle w:val="Hyperlink"/>
          <w:rFonts w:asciiTheme="majorBidi" w:hAnsiTheme="majorBidi" w:cstheme="majorBidi"/>
          <w:sz w:val="24"/>
          <w:szCs w:val="24"/>
        </w:rPr>
        <w:t xml:space="preserve"> &amp; </w:t>
      </w:r>
      <w:proofErr w:type="spellStart"/>
      <w:r w:rsidR="00795810" w:rsidRPr="00341756">
        <w:rPr>
          <w:rStyle w:val="Hyperlink"/>
          <w:rFonts w:asciiTheme="majorBidi" w:hAnsiTheme="majorBidi" w:cstheme="majorBidi"/>
          <w:sz w:val="24"/>
          <w:szCs w:val="24"/>
        </w:rPr>
        <w:t>Weisbach</w:t>
      </w:r>
      <w:proofErr w:type="spellEnd"/>
      <w:r w:rsidR="00795810" w:rsidRPr="00341756">
        <w:rPr>
          <w:rStyle w:val="Hyperlink"/>
          <w:rFonts w:asciiTheme="majorBidi" w:hAnsiTheme="majorBidi" w:cstheme="majorBidi"/>
          <w:sz w:val="24"/>
          <w:szCs w:val="24"/>
        </w:rPr>
        <w:t>, 1998</w:t>
      </w:r>
      <w:r w:rsidR="008C53F0">
        <w:rPr>
          <w:rStyle w:val="Hyperlink"/>
          <w:rFonts w:asciiTheme="majorBidi" w:hAnsiTheme="majorBidi" w:cstheme="majorBidi"/>
          <w:sz w:val="24"/>
          <w:szCs w:val="24"/>
        </w:rPr>
        <w:fldChar w:fldCharType="end"/>
      </w:r>
      <w:r w:rsidR="00795810" w:rsidRPr="00341756">
        <w:rPr>
          <w:rFonts w:asciiTheme="majorBidi" w:hAnsiTheme="majorBidi" w:cstheme="majorBidi"/>
          <w:color w:val="000000" w:themeColor="text1"/>
          <w:sz w:val="24"/>
          <w:szCs w:val="24"/>
        </w:rPr>
        <w:t>).</w:t>
      </w:r>
      <w:r w:rsidRPr="00341756">
        <w:rPr>
          <w:rFonts w:asciiTheme="majorBidi" w:hAnsiTheme="majorBidi" w:cstheme="majorBidi"/>
          <w:color w:val="000000" w:themeColor="text1"/>
          <w:sz w:val="24"/>
          <w:szCs w:val="24"/>
        </w:rPr>
        <w:t xml:space="preserve"> </w:t>
      </w:r>
      <w:r w:rsidR="00795810" w:rsidRPr="00341756">
        <w:rPr>
          <w:rFonts w:asciiTheme="majorBidi" w:hAnsiTheme="majorBidi" w:cstheme="majorBidi"/>
          <w:color w:val="000000" w:themeColor="text1"/>
          <w:sz w:val="24"/>
          <w:szCs w:val="24"/>
        </w:rPr>
        <w:t>The board</w:t>
      </w:r>
      <w:r w:rsidRPr="00341756">
        <w:rPr>
          <w:rFonts w:asciiTheme="majorBidi" w:hAnsiTheme="majorBidi" w:cstheme="majorBidi"/>
          <w:color w:val="000000" w:themeColor="text1"/>
          <w:sz w:val="24"/>
          <w:szCs w:val="24"/>
        </w:rPr>
        <w:t>’s</w:t>
      </w:r>
      <w:r w:rsidR="00795810" w:rsidRPr="00341756">
        <w:rPr>
          <w:rFonts w:asciiTheme="majorBidi" w:hAnsiTheme="majorBidi" w:cstheme="majorBidi"/>
          <w:color w:val="000000" w:themeColor="text1"/>
          <w:sz w:val="24"/>
          <w:szCs w:val="24"/>
        </w:rPr>
        <w:t xml:space="preserve"> independence </w:t>
      </w:r>
      <w:r w:rsidR="00C26815" w:rsidRPr="00341756">
        <w:rPr>
          <w:rFonts w:asciiTheme="majorBidi" w:hAnsiTheme="majorBidi" w:cstheme="majorBidi"/>
          <w:color w:val="000000" w:themeColor="text1"/>
          <w:sz w:val="24"/>
          <w:szCs w:val="24"/>
        </w:rPr>
        <w:t xml:space="preserve">is calculated as </w:t>
      </w:r>
      <w:r w:rsidR="006F1C64" w:rsidRPr="00341756">
        <w:rPr>
          <w:rFonts w:asciiTheme="majorBidi" w:hAnsiTheme="majorBidi" w:cstheme="majorBidi"/>
          <w:color w:val="000000" w:themeColor="text1"/>
          <w:sz w:val="24"/>
          <w:szCs w:val="24"/>
        </w:rPr>
        <w:t>the ratio of non-executive directors to all members</w:t>
      </w:r>
      <w:r w:rsidR="00C26815" w:rsidRPr="00341756">
        <w:rPr>
          <w:rFonts w:asciiTheme="majorBidi" w:hAnsiTheme="majorBidi" w:cstheme="majorBidi"/>
          <w:color w:val="000000" w:themeColor="text1"/>
          <w:sz w:val="24"/>
          <w:szCs w:val="24"/>
        </w:rPr>
        <w:t xml:space="preserve">. </w:t>
      </w:r>
      <w:r w:rsidR="00257C22" w:rsidRPr="00341756">
        <w:rPr>
          <w:rFonts w:asciiTheme="majorBidi" w:hAnsiTheme="majorBidi" w:cstheme="majorBidi"/>
          <w:color w:val="000000" w:themeColor="text1"/>
          <w:sz w:val="24"/>
          <w:szCs w:val="24"/>
        </w:rPr>
        <w:t xml:space="preserve">To ensure that objective financial information is conveyed to shareholders, </w:t>
      </w:r>
      <w:r w:rsidRPr="00341756">
        <w:rPr>
          <w:rFonts w:asciiTheme="majorBidi" w:hAnsiTheme="majorBidi" w:cstheme="majorBidi"/>
          <w:color w:val="000000" w:themeColor="text1"/>
          <w:sz w:val="24"/>
          <w:szCs w:val="24"/>
        </w:rPr>
        <w:t xml:space="preserve">the </w:t>
      </w:r>
      <w:r w:rsidR="00257C22" w:rsidRPr="00341756">
        <w:rPr>
          <w:rFonts w:asciiTheme="majorBidi" w:hAnsiTheme="majorBidi" w:cstheme="majorBidi"/>
          <w:color w:val="000000" w:themeColor="text1"/>
          <w:sz w:val="24"/>
          <w:szCs w:val="24"/>
        </w:rPr>
        <w:t xml:space="preserve">company board should be composed of a sufficient </w:t>
      </w:r>
      <w:r w:rsidR="00257C22" w:rsidRPr="00341756">
        <w:rPr>
          <w:rFonts w:asciiTheme="majorBidi" w:hAnsiTheme="majorBidi" w:cstheme="majorBidi"/>
          <w:color w:val="000000" w:themeColor="text1"/>
          <w:sz w:val="24"/>
          <w:szCs w:val="24"/>
        </w:rPr>
        <w:lastRenderedPageBreak/>
        <w:t>number of independent non-executive directors who are more likely to be free from the management’s influence</w:t>
      </w:r>
      <w:r w:rsidR="00243487" w:rsidRPr="00341756">
        <w:rPr>
          <w:rFonts w:asciiTheme="majorBidi" w:hAnsiTheme="majorBidi" w:cstheme="majorBidi"/>
          <w:color w:val="000000" w:themeColor="text1"/>
          <w:sz w:val="24"/>
          <w:szCs w:val="24"/>
        </w:rPr>
        <w:t xml:space="preserve"> </w:t>
      </w:r>
      <w:r w:rsidR="00257C22" w:rsidRPr="00341756">
        <w:rPr>
          <w:rFonts w:asciiTheme="majorBidi" w:hAnsiTheme="majorBidi" w:cstheme="majorBidi"/>
          <w:color w:val="000000" w:themeColor="text1"/>
          <w:sz w:val="24"/>
          <w:szCs w:val="24"/>
        </w:rPr>
        <w:t>(</w:t>
      </w:r>
      <w:proofErr w:type="spellStart"/>
      <w:r w:rsidR="008C53F0">
        <w:fldChar w:fldCharType="begin"/>
      </w:r>
      <w:r w:rsidR="008C53F0">
        <w:instrText xml:space="preserve"> HYPERLINK \l "w49" </w:instrText>
      </w:r>
      <w:r w:rsidR="008C53F0">
        <w:fldChar w:fldCharType="separate"/>
      </w:r>
      <w:r w:rsidR="00257C22" w:rsidRPr="00341756">
        <w:rPr>
          <w:rStyle w:val="Hyperlink"/>
          <w:rFonts w:asciiTheme="majorBidi" w:hAnsiTheme="majorBidi" w:cstheme="majorBidi"/>
          <w:sz w:val="24"/>
          <w:szCs w:val="24"/>
        </w:rPr>
        <w:t>Karamanou</w:t>
      </w:r>
      <w:proofErr w:type="spellEnd"/>
      <w:r w:rsidR="00257C22" w:rsidRPr="00341756">
        <w:rPr>
          <w:rStyle w:val="Hyperlink"/>
          <w:rFonts w:asciiTheme="majorBidi" w:hAnsiTheme="majorBidi" w:cstheme="majorBidi"/>
          <w:sz w:val="24"/>
          <w:szCs w:val="24"/>
        </w:rPr>
        <w:t xml:space="preserve"> &amp;</w:t>
      </w:r>
      <w:proofErr w:type="spellStart"/>
      <w:r w:rsidR="00257C22" w:rsidRPr="00341756">
        <w:rPr>
          <w:rStyle w:val="Hyperlink"/>
          <w:rFonts w:asciiTheme="majorBidi" w:hAnsiTheme="majorBidi" w:cstheme="majorBidi"/>
          <w:sz w:val="24"/>
          <w:szCs w:val="24"/>
        </w:rPr>
        <w:t>Vafeas</w:t>
      </w:r>
      <w:proofErr w:type="spellEnd"/>
      <w:r w:rsidR="00257C22" w:rsidRPr="00341756">
        <w:rPr>
          <w:rStyle w:val="Hyperlink"/>
          <w:rFonts w:asciiTheme="majorBidi" w:hAnsiTheme="majorBidi" w:cstheme="majorBidi"/>
          <w:sz w:val="24"/>
          <w:szCs w:val="24"/>
        </w:rPr>
        <w:t>, 2005</w:t>
      </w:r>
      <w:r w:rsidR="008C53F0">
        <w:rPr>
          <w:rStyle w:val="Hyperlink"/>
          <w:rFonts w:asciiTheme="majorBidi" w:hAnsiTheme="majorBidi" w:cstheme="majorBidi"/>
          <w:sz w:val="24"/>
          <w:szCs w:val="24"/>
        </w:rPr>
        <w:fldChar w:fldCharType="end"/>
      </w:r>
      <w:r w:rsidR="00257C22" w:rsidRPr="00341756">
        <w:rPr>
          <w:rFonts w:asciiTheme="majorBidi" w:hAnsiTheme="majorBidi" w:cstheme="majorBidi"/>
          <w:color w:val="000000" w:themeColor="text1"/>
          <w:sz w:val="24"/>
          <w:szCs w:val="24"/>
        </w:rPr>
        <w:t>)</w:t>
      </w:r>
      <w:r w:rsidR="00257C22" w:rsidRPr="00341756" w:rsidDel="00257C22">
        <w:rPr>
          <w:rFonts w:asciiTheme="majorBidi" w:hAnsiTheme="majorBidi" w:cstheme="majorBidi"/>
          <w:color w:val="000000" w:themeColor="text1"/>
          <w:sz w:val="24"/>
          <w:szCs w:val="24"/>
        </w:rPr>
        <w:t xml:space="preserve"> </w:t>
      </w:r>
      <w:r w:rsidR="006F1C64" w:rsidRPr="00341756">
        <w:rPr>
          <w:rFonts w:asciiTheme="majorBidi" w:hAnsiTheme="majorBidi" w:cstheme="majorBidi"/>
          <w:color w:val="000000" w:themeColor="text1"/>
          <w:sz w:val="24"/>
          <w:szCs w:val="24"/>
        </w:rPr>
        <w:t>and the auditor’s opinion</w:t>
      </w:r>
      <w:r w:rsidR="00C26815" w:rsidRPr="00341756">
        <w:rPr>
          <w:rFonts w:asciiTheme="majorBidi" w:hAnsiTheme="majorBidi" w:cstheme="majorBidi"/>
          <w:color w:val="000000" w:themeColor="text1"/>
          <w:sz w:val="24"/>
          <w:szCs w:val="24"/>
        </w:rPr>
        <w:t>.</w:t>
      </w:r>
    </w:p>
    <w:p w14:paraId="40FA63CC" w14:textId="77777777" w:rsidR="00C26815" w:rsidRPr="00341756" w:rsidRDefault="006F1C64" w:rsidP="007D21BB">
      <w:pPr>
        <w:ind w:left="720"/>
        <w:jc w:val="both"/>
        <w:rPr>
          <w:rFonts w:asciiTheme="majorBidi" w:hAnsiTheme="majorBidi" w:cstheme="majorBidi"/>
          <w:b/>
          <w:bCs/>
          <w:i/>
          <w:iCs/>
          <w:color w:val="000000" w:themeColor="text1"/>
          <w:sz w:val="24"/>
          <w:szCs w:val="24"/>
        </w:rPr>
      </w:pPr>
      <w:r w:rsidRPr="00341756">
        <w:rPr>
          <w:rFonts w:asciiTheme="majorBidi" w:hAnsiTheme="majorBidi" w:cstheme="majorBidi"/>
          <w:b/>
          <w:bCs/>
          <w:i/>
          <w:iCs/>
          <w:color w:val="000000" w:themeColor="text1"/>
          <w:sz w:val="24"/>
          <w:szCs w:val="24"/>
        </w:rPr>
        <w:t xml:space="preserve">CEO duality </w:t>
      </w:r>
    </w:p>
    <w:p w14:paraId="64A575D3" w14:textId="77777777" w:rsidR="00297F65" w:rsidRDefault="001777F9" w:rsidP="00351889">
      <w:pPr>
        <w:jc w:val="both"/>
        <w:rPr>
          <w:rFonts w:asciiTheme="majorBidi" w:hAnsiTheme="majorBidi" w:cstheme="majorBidi"/>
          <w:color w:val="auto"/>
          <w:sz w:val="24"/>
          <w:szCs w:val="24"/>
        </w:rPr>
      </w:pPr>
      <w:r w:rsidRPr="00341756">
        <w:rPr>
          <w:rFonts w:asciiTheme="majorBidi" w:hAnsiTheme="majorBidi" w:cstheme="majorBidi"/>
          <w:color w:val="auto"/>
          <w:sz w:val="24"/>
          <w:szCs w:val="24"/>
          <w:lang w:bidi="fa-IR"/>
        </w:rPr>
        <w:t>Agency theory argu</w:t>
      </w:r>
      <w:r w:rsidR="00243487" w:rsidRPr="00341756">
        <w:rPr>
          <w:rFonts w:asciiTheme="majorBidi" w:hAnsiTheme="majorBidi" w:cstheme="majorBidi"/>
          <w:color w:val="auto"/>
          <w:sz w:val="24"/>
          <w:szCs w:val="24"/>
          <w:lang w:bidi="fa-IR"/>
        </w:rPr>
        <w:t>es</w:t>
      </w:r>
      <w:r w:rsidRPr="00341756">
        <w:rPr>
          <w:rFonts w:asciiTheme="majorBidi" w:hAnsiTheme="majorBidi" w:cstheme="majorBidi"/>
          <w:color w:val="auto"/>
          <w:sz w:val="24"/>
          <w:szCs w:val="24"/>
          <w:lang w:bidi="fa-IR"/>
        </w:rPr>
        <w:t xml:space="preserve"> that CEOs have conflicting interests and pursue their </w:t>
      </w:r>
      <w:r w:rsidR="0038474B" w:rsidRPr="00341756">
        <w:rPr>
          <w:rFonts w:asciiTheme="majorBidi" w:hAnsiTheme="majorBidi" w:cstheme="majorBidi"/>
          <w:color w:val="auto"/>
          <w:sz w:val="24"/>
          <w:szCs w:val="24"/>
          <w:lang w:bidi="fa-IR"/>
        </w:rPr>
        <w:t>own</w:t>
      </w:r>
      <w:r w:rsidRPr="00341756">
        <w:rPr>
          <w:rFonts w:asciiTheme="majorBidi" w:hAnsiTheme="majorBidi" w:cstheme="majorBidi"/>
          <w:color w:val="auto"/>
          <w:sz w:val="24"/>
          <w:szCs w:val="24"/>
          <w:lang w:bidi="fa-IR"/>
        </w:rPr>
        <w:t xml:space="preserve"> benefits </w:t>
      </w:r>
      <w:r w:rsidR="00A046E7">
        <w:rPr>
          <w:rFonts w:asciiTheme="majorBidi" w:hAnsiTheme="majorBidi" w:cstheme="majorBidi"/>
          <w:color w:val="auto"/>
          <w:sz w:val="24"/>
          <w:szCs w:val="24"/>
          <w:lang w:bidi="fa-IR"/>
        </w:rPr>
        <w:t>which</w:t>
      </w:r>
      <w:r w:rsidR="00A046E7" w:rsidRPr="00341756">
        <w:rPr>
          <w:rFonts w:asciiTheme="majorBidi" w:hAnsiTheme="majorBidi" w:cstheme="majorBidi"/>
          <w:color w:val="auto"/>
          <w:sz w:val="24"/>
          <w:szCs w:val="24"/>
          <w:lang w:bidi="fa-IR"/>
        </w:rPr>
        <w:t xml:space="preserve"> </w:t>
      </w:r>
      <w:r w:rsidRPr="00341756">
        <w:rPr>
          <w:rFonts w:asciiTheme="majorBidi" w:hAnsiTheme="majorBidi" w:cstheme="majorBidi"/>
          <w:color w:val="auto"/>
          <w:sz w:val="24"/>
          <w:szCs w:val="24"/>
          <w:lang w:bidi="fa-IR"/>
        </w:rPr>
        <w:t xml:space="preserve">depart from the stockholder interests of firms. </w:t>
      </w:r>
      <w:r w:rsidR="00804D07" w:rsidRPr="00341756">
        <w:rPr>
          <w:rFonts w:asciiTheme="majorBidi" w:hAnsiTheme="majorBidi" w:cstheme="majorBidi"/>
          <w:color w:val="auto"/>
          <w:sz w:val="24"/>
          <w:szCs w:val="24"/>
          <w:lang w:bidi="fa-IR"/>
        </w:rPr>
        <w:t>Duality occurs when the CEO holds the chairman position which, in turn, increases his power and negatively influences the firms performance efficiency (</w:t>
      </w:r>
      <w:proofErr w:type="spellStart"/>
      <w:r w:rsidR="008C53F0">
        <w:fldChar w:fldCharType="begin"/>
      </w:r>
      <w:r w:rsidR="008C53F0">
        <w:instrText xml:space="preserve"> HYPERLINK \l "w50" </w:instrText>
      </w:r>
      <w:r w:rsidR="008C53F0">
        <w:fldChar w:fldCharType="separate"/>
      </w:r>
      <w:r w:rsidR="00804D07" w:rsidRPr="00341756">
        <w:rPr>
          <w:rStyle w:val="Hyperlink"/>
          <w:rFonts w:asciiTheme="majorBidi" w:hAnsiTheme="majorBidi" w:cstheme="majorBidi"/>
          <w:sz w:val="24"/>
          <w:szCs w:val="24"/>
          <w:lang w:bidi="fa-IR"/>
        </w:rPr>
        <w:t>Garas</w:t>
      </w:r>
      <w:proofErr w:type="spellEnd"/>
      <w:r w:rsidR="00804D07" w:rsidRPr="00341756">
        <w:rPr>
          <w:rStyle w:val="Hyperlink"/>
          <w:rFonts w:asciiTheme="majorBidi" w:hAnsiTheme="majorBidi" w:cstheme="majorBidi"/>
          <w:sz w:val="24"/>
          <w:szCs w:val="24"/>
          <w:lang w:bidi="fa-IR"/>
        </w:rPr>
        <w:t xml:space="preserve"> &amp; </w:t>
      </w:r>
      <w:proofErr w:type="spellStart"/>
      <w:r w:rsidR="00804D07" w:rsidRPr="00341756">
        <w:rPr>
          <w:rStyle w:val="Hyperlink"/>
          <w:rFonts w:asciiTheme="majorBidi" w:hAnsiTheme="majorBidi" w:cstheme="majorBidi"/>
          <w:sz w:val="24"/>
          <w:szCs w:val="24"/>
          <w:lang w:bidi="fa-IR"/>
        </w:rPr>
        <w:t>ElMassah</w:t>
      </w:r>
      <w:proofErr w:type="spellEnd"/>
      <w:r w:rsidR="00804D07" w:rsidRPr="00341756">
        <w:rPr>
          <w:rStyle w:val="Hyperlink"/>
          <w:rFonts w:asciiTheme="majorBidi" w:hAnsiTheme="majorBidi" w:cstheme="majorBidi"/>
          <w:sz w:val="24"/>
          <w:szCs w:val="24"/>
          <w:lang w:bidi="fa-IR"/>
        </w:rPr>
        <w:t>, 2018</w:t>
      </w:r>
      <w:r w:rsidR="008C53F0">
        <w:rPr>
          <w:rStyle w:val="Hyperlink"/>
          <w:rFonts w:asciiTheme="majorBidi" w:hAnsiTheme="majorBidi" w:cstheme="majorBidi"/>
          <w:sz w:val="24"/>
          <w:szCs w:val="24"/>
          <w:lang w:bidi="fa-IR"/>
        </w:rPr>
        <w:fldChar w:fldCharType="end"/>
      </w:r>
      <w:r w:rsidR="00804D07" w:rsidRPr="00341756">
        <w:rPr>
          <w:rFonts w:asciiTheme="majorBidi" w:hAnsiTheme="majorBidi" w:cstheme="majorBidi"/>
          <w:color w:val="auto"/>
          <w:sz w:val="24"/>
          <w:szCs w:val="24"/>
          <w:lang w:bidi="fa-IR"/>
        </w:rPr>
        <w:t xml:space="preserve">). </w:t>
      </w:r>
      <w:hyperlink w:anchor="w51" w:history="1">
        <w:proofErr w:type="spellStart"/>
        <w:r w:rsidR="00D643B3" w:rsidRPr="00341756">
          <w:rPr>
            <w:rStyle w:val="Hyperlink"/>
            <w:rFonts w:asciiTheme="majorBidi" w:hAnsiTheme="majorBidi" w:cstheme="majorBidi"/>
            <w:sz w:val="24"/>
            <w:szCs w:val="24"/>
            <w:lang w:bidi="fa-IR"/>
          </w:rPr>
          <w:t>Forker</w:t>
        </w:r>
        <w:proofErr w:type="spellEnd"/>
        <w:r w:rsidR="00D643B3" w:rsidRPr="00341756">
          <w:rPr>
            <w:rStyle w:val="Hyperlink"/>
            <w:rFonts w:asciiTheme="majorBidi" w:hAnsiTheme="majorBidi" w:cstheme="majorBidi"/>
            <w:sz w:val="24"/>
            <w:szCs w:val="24"/>
            <w:lang w:bidi="fa-IR"/>
          </w:rPr>
          <w:t xml:space="preserve"> (1992)</w:t>
        </w:r>
      </w:hyperlink>
      <w:r w:rsidR="00D643B3" w:rsidRPr="00341756">
        <w:rPr>
          <w:rFonts w:asciiTheme="majorBidi" w:hAnsiTheme="majorBidi" w:cstheme="majorBidi"/>
          <w:color w:val="auto"/>
          <w:sz w:val="24"/>
          <w:szCs w:val="24"/>
          <w:lang w:bidi="fa-IR"/>
        </w:rPr>
        <w:t xml:space="preserve"> asserted that a dominant personality in both roles poses a threat to monitoring </w:t>
      </w:r>
      <w:proofErr w:type="spellStart"/>
      <w:r w:rsidR="00D643B3" w:rsidRPr="00341756">
        <w:rPr>
          <w:rFonts w:asciiTheme="majorBidi" w:hAnsiTheme="majorBidi" w:cstheme="majorBidi"/>
          <w:color w:val="auto"/>
          <w:sz w:val="24"/>
          <w:szCs w:val="24"/>
          <w:lang w:bidi="fa-IR"/>
        </w:rPr>
        <w:t>quality.</w:t>
      </w:r>
      <w:r w:rsidR="00C26815" w:rsidRPr="00341756">
        <w:rPr>
          <w:rFonts w:asciiTheme="majorBidi" w:hAnsiTheme="majorBidi" w:cstheme="majorBidi"/>
          <w:color w:val="auto"/>
          <w:sz w:val="24"/>
          <w:szCs w:val="24"/>
        </w:rPr>
        <w:t>There</w:t>
      </w:r>
      <w:proofErr w:type="spellEnd"/>
      <w:r w:rsidR="00C26815" w:rsidRPr="00341756">
        <w:rPr>
          <w:rFonts w:asciiTheme="majorBidi" w:hAnsiTheme="majorBidi" w:cstheme="majorBidi"/>
          <w:color w:val="auto"/>
          <w:sz w:val="24"/>
          <w:szCs w:val="24"/>
        </w:rPr>
        <w:t xml:space="preserve"> is a </w:t>
      </w:r>
      <w:r w:rsidR="0038474B" w:rsidRPr="00341756">
        <w:rPr>
          <w:rFonts w:asciiTheme="majorBidi" w:hAnsiTheme="majorBidi" w:cstheme="majorBidi"/>
          <w:color w:val="auto"/>
          <w:sz w:val="24"/>
          <w:szCs w:val="24"/>
        </w:rPr>
        <w:t xml:space="preserve">tendency </w:t>
      </w:r>
      <w:r w:rsidR="00C26815" w:rsidRPr="00341756">
        <w:rPr>
          <w:rFonts w:asciiTheme="majorBidi" w:hAnsiTheme="majorBidi" w:cstheme="majorBidi"/>
          <w:color w:val="auto"/>
          <w:sz w:val="24"/>
          <w:szCs w:val="24"/>
        </w:rPr>
        <w:t>to avoid the tax in the case of CEO duality (</w:t>
      </w:r>
      <w:hyperlink w:anchor="w43" w:history="1">
        <w:r w:rsidR="00C26815" w:rsidRPr="00341756">
          <w:rPr>
            <w:rStyle w:val="Hyperlink"/>
            <w:rFonts w:asciiTheme="majorBidi" w:hAnsiTheme="majorBidi" w:cstheme="majorBidi"/>
            <w:sz w:val="24"/>
            <w:szCs w:val="24"/>
          </w:rPr>
          <w:t>Chen</w:t>
        </w:r>
        <w:r w:rsidR="00C02496" w:rsidRPr="00341756">
          <w:rPr>
            <w:rStyle w:val="Hyperlink"/>
            <w:rFonts w:asciiTheme="majorBidi" w:hAnsiTheme="majorBidi" w:cstheme="majorBidi"/>
            <w:sz w:val="24"/>
            <w:szCs w:val="24"/>
          </w:rPr>
          <w:t xml:space="preserve"> et al.</w:t>
        </w:r>
        <w:r w:rsidR="00C26815" w:rsidRPr="00341756">
          <w:rPr>
            <w:rStyle w:val="Hyperlink"/>
            <w:rFonts w:asciiTheme="majorBidi" w:hAnsiTheme="majorBidi" w:cstheme="majorBidi"/>
            <w:sz w:val="24"/>
            <w:szCs w:val="24"/>
          </w:rPr>
          <w:t>, 2013</w:t>
        </w:r>
      </w:hyperlink>
      <w:r w:rsidR="00C26815" w:rsidRPr="00341756">
        <w:rPr>
          <w:rFonts w:asciiTheme="majorBidi" w:hAnsiTheme="majorBidi" w:cstheme="majorBidi"/>
          <w:color w:val="auto"/>
          <w:sz w:val="24"/>
          <w:szCs w:val="24"/>
        </w:rPr>
        <w:t xml:space="preserve">). </w:t>
      </w:r>
      <w:r w:rsidR="00351889" w:rsidRPr="00351889">
        <w:rPr>
          <w:rFonts w:asciiTheme="majorBidi" w:hAnsiTheme="majorBidi" w:cstheme="majorBidi"/>
          <w:color w:val="auto"/>
          <w:sz w:val="24"/>
          <w:szCs w:val="24"/>
        </w:rPr>
        <w:t>Our model deals with duality as a dummy variable that takes (1) if the CEO and the board director are the same person and (</w:t>
      </w:r>
      <w:proofErr w:type="gramStart"/>
      <w:r w:rsidR="00351889" w:rsidRPr="00351889">
        <w:rPr>
          <w:rFonts w:asciiTheme="majorBidi" w:hAnsiTheme="majorBidi" w:cstheme="majorBidi"/>
          <w:color w:val="auto"/>
          <w:sz w:val="24"/>
          <w:szCs w:val="24"/>
        </w:rPr>
        <w:t>0)otherwise</w:t>
      </w:r>
      <w:proofErr w:type="gramEnd"/>
      <w:r w:rsidR="00351889" w:rsidRPr="00351889">
        <w:rPr>
          <w:rFonts w:asciiTheme="majorBidi" w:hAnsiTheme="majorBidi" w:cstheme="majorBidi"/>
          <w:color w:val="auto"/>
          <w:sz w:val="24"/>
          <w:szCs w:val="24"/>
        </w:rPr>
        <w:t xml:space="preserve">. </w:t>
      </w:r>
    </w:p>
    <w:p w14:paraId="1A1ABAF3" w14:textId="45944846" w:rsidR="00C26815" w:rsidRPr="00341756" w:rsidRDefault="00C26815" w:rsidP="00351889">
      <w:pPr>
        <w:jc w:val="both"/>
        <w:rPr>
          <w:rFonts w:asciiTheme="majorBidi" w:hAnsiTheme="majorBidi" w:cstheme="majorBidi"/>
          <w:b/>
          <w:bCs/>
          <w:i/>
          <w:iCs/>
          <w:color w:val="000000" w:themeColor="text1"/>
          <w:sz w:val="24"/>
          <w:szCs w:val="24"/>
        </w:rPr>
      </w:pPr>
      <w:r w:rsidRPr="00341756">
        <w:rPr>
          <w:rFonts w:asciiTheme="majorBidi" w:hAnsiTheme="majorBidi" w:cstheme="majorBidi"/>
          <w:b/>
          <w:bCs/>
          <w:i/>
          <w:iCs/>
          <w:color w:val="000000" w:themeColor="text1"/>
          <w:sz w:val="24"/>
          <w:szCs w:val="24"/>
        </w:rPr>
        <w:t>Firm size</w:t>
      </w:r>
    </w:p>
    <w:p w14:paraId="40396FC2" w14:textId="72D573EA" w:rsidR="00ED431B" w:rsidRPr="00341756" w:rsidRDefault="00ED431B" w:rsidP="00971217">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 xml:space="preserve">Firm size is considered one of the important factors for tax avoidance. </w:t>
      </w:r>
      <w:hyperlink w:anchor="w52" w:history="1">
        <w:proofErr w:type="spellStart"/>
        <w:r w:rsidRPr="00341756">
          <w:rPr>
            <w:rStyle w:val="Hyperlink"/>
            <w:rFonts w:asciiTheme="majorBidi" w:hAnsiTheme="majorBidi" w:cstheme="majorBidi"/>
            <w:sz w:val="24"/>
            <w:szCs w:val="24"/>
          </w:rPr>
          <w:t>Salamon</w:t>
        </w:r>
        <w:proofErr w:type="spellEnd"/>
        <w:r w:rsidRPr="00341756">
          <w:rPr>
            <w:rStyle w:val="Hyperlink"/>
            <w:rFonts w:asciiTheme="majorBidi" w:hAnsiTheme="majorBidi" w:cstheme="majorBidi"/>
            <w:sz w:val="24"/>
            <w:szCs w:val="24"/>
          </w:rPr>
          <w:t xml:space="preserve"> and Siegfried (1977)</w:t>
        </w:r>
      </w:hyperlink>
      <w:r w:rsidRPr="00341756">
        <w:rPr>
          <w:rFonts w:asciiTheme="majorBidi" w:hAnsiTheme="majorBidi" w:cstheme="majorBidi"/>
          <w:color w:val="000000" w:themeColor="text1"/>
          <w:sz w:val="24"/>
          <w:szCs w:val="24"/>
        </w:rPr>
        <w:t xml:space="preserve"> stated that the economic and political power of a bigger firm outperforms the smaller ones. Therefore, the size tends to influence the rules, investments, and plans associated with reducing the tax. We use the logarithm of total assets to indicate the firm size.</w:t>
      </w:r>
    </w:p>
    <w:p w14:paraId="324547B8" w14:textId="3F7D2D23" w:rsidR="00471F0B" w:rsidRPr="00341756" w:rsidRDefault="006F1C64"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 xml:space="preserve">Return on assets </w:t>
      </w:r>
    </w:p>
    <w:p w14:paraId="71C2630E" w14:textId="71453BDC" w:rsidR="006F1C64" w:rsidRPr="00341756" w:rsidRDefault="007021F1" w:rsidP="00297F65">
      <w:pPr>
        <w:jc w:val="both"/>
        <w:rPr>
          <w:rFonts w:asciiTheme="majorBidi" w:hAnsiTheme="majorBidi" w:cstheme="majorBidi"/>
          <w:sz w:val="24"/>
          <w:szCs w:val="24"/>
        </w:rPr>
      </w:pPr>
      <w:hyperlink w:anchor="w53" w:history="1">
        <w:proofErr w:type="spellStart"/>
        <w:r w:rsidR="008E5DC9" w:rsidRPr="00341756">
          <w:rPr>
            <w:rStyle w:val="Hyperlink"/>
            <w:rFonts w:asciiTheme="majorBidi" w:hAnsiTheme="majorBidi" w:cstheme="majorBidi"/>
            <w:sz w:val="24"/>
            <w:szCs w:val="24"/>
          </w:rPr>
          <w:t>Oktaviyani</w:t>
        </w:r>
        <w:proofErr w:type="spellEnd"/>
        <w:r w:rsidR="008E5DC9" w:rsidRPr="00341756">
          <w:rPr>
            <w:rStyle w:val="Hyperlink"/>
            <w:rFonts w:asciiTheme="majorBidi" w:hAnsiTheme="majorBidi" w:cstheme="majorBidi"/>
            <w:sz w:val="24"/>
            <w:szCs w:val="24"/>
          </w:rPr>
          <w:t xml:space="preserve"> </w:t>
        </w:r>
        <w:r w:rsidR="0058552F" w:rsidRPr="00341756">
          <w:rPr>
            <w:rStyle w:val="Hyperlink"/>
            <w:rFonts w:asciiTheme="majorBidi" w:hAnsiTheme="majorBidi" w:cstheme="majorBidi"/>
            <w:sz w:val="24"/>
            <w:szCs w:val="24"/>
          </w:rPr>
          <w:t xml:space="preserve">and </w:t>
        </w:r>
        <w:proofErr w:type="spellStart"/>
        <w:r w:rsidR="008E5DC9" w:rsidRPr="00341756">
          <w:rPr>
            <w:rStyle w:val="Hyperlink"/>
            <w:rFonts w:asciiTheme="majorBidi" w:hAnsiTheme="majorBidi" w:cstheme="majorBidi"/>
            <w:sz w:val="24"/>
            <w:szCs w:val="24"/>
          </w:rPr>
          <w:t>Munandar</w:t>
        </w:r>
        <w:proofErr w:type="spellEnd"/>
        <w:r w:rsidR="008E5DC9" w:rsidRPr="00341756">
          <w:rPr>
            <w:rStyle w:val="Hyperlink"/>
            <w:rFonts w:asciiTheme="majorBidi" w:hAnsiTheme="majorBidi" w:cstheme="majorBidi"/>
            <w:sz w:val="24"/>
            <w:szCs w:val="24"/>
          </w:rPr>
          <w:t xml:space="preserve"> </w:t>
        </w:r>
        <w:r w:rsidR="0058552F" w:rsidRPr="00341756">
          <w:rPr>
            <w:rStyle w:val="Hyperlink"/>
            <w:rFonts w:asciiTheme="majorBidi" w:hAnsiTheme="majorBidi" w:cstheme="majorBidi"/>
            <w:sz w:val="24"/>
            <w:szCs w:val="24"/>
          </w:rPr>
          <w:t>(</w:t>
        </w:r>
        <w:r w:rsidR="00A93F34" w:rsidRPr="00341756">
          <w:rPr>
            <w:rStyle w:val="Hyperlink"/>
            <w:rFonts w:asciiTheme="majorBidi" w:hAnsiTheme="majorBidi" w:cstheme="majorBidi"/>
            <w:sz w:val="24"/>
            <w:szCs w:val="24"/>
          </w:rPr>
          <w:t>2017</w:t>
        </w:r>
        <w:r w:rsidR="0058552F" w:rsidRPr="00341756">
          <w:rPr>
            <w:rStyle w:val="Hyperlink"/>
            <w:rFonts w:asciiTheme="majorBidi" w:hAnsiTheme="majorBidi" w:cstheme="majorBidi"/>
            <w:sz w:val="24"/>
            <w:szCs w:val="24"/>
          </w:rPr>
          <w:t>)</w:t>
        </w:r>
      </w:hyperlink>
      <w:r w:rsidR="0058552F" w:rsidRPr="00341756">
        <w:rPr>
          <w:rFonts w:asciiTheme="majorBidi" w:hAnsiTheme="majorBidi" w:cstheme="majorBidi"/>
          <w:color w:val="auto"/>
          <w:sz w:val="24"/>
          <w:szCs w:val="24"/>
        </w:rPr>
        <w:t xml:space="preserve"> examined</w:t>
      </w:r>
      <w:r w:rsidR="008E5DC9" w:rsidRPr="00341756">
        <w:rPr>
          <w:rFonts w:asciiTheme="majorBidi" w:hAnsiTheme="majorBidi" w:cstheme="majorBidi"/>
          <w:color w:val="auto"/>
          <w:sz w:val="24"/>
          <w:szCs w:val="24"/>
        </w:rPr>
        <w:t xml:space="preserve"> </w:t>
      </w:r>
      <w:r w:rsidR="007E0E5A">
        <w:rPr>
          <w:rFonts w:asciiTheme="majorBidi" w:hAnsiTheme="majorBidi" w:cstheme="majorBidi"/>
          <w:color w:val="auto"/>
          <w:sz w:val="24"/>
          <w:szCs w:val="24"/>
        </w:rPr>
        <w:t xml:space="preserve">the </w:t>
      </w:r>
      <w:r w:rsidR="0058552F" w:rsidRPr="00341756">
        <w:rPr>
          <w:rFonts w:asciiTheme="majorBidi" w:hAnsiTheme="majorBidi" w:cstheme="majorBidi"/>
          <w:color w:val="auto"/>
          <w:sz w:val="24"/>
          <w:szCs w:val="24"/>
        </w:rPr>
        <w:t xml:space="preserve">companies with high profitability level will surely prefer not to do tax avoidance </w:t>
      </w:r>
      <w:r w:rsidR="00C30B41">
        <w:rPr>
          <w:rFonts w:asciiTheme="majorBidi" w:hAnsiTheme="majorBidi" w:cstheme="majorBidi"/>
          <w:color w:val="auto"/>
          <w:sz w:val="24"/>
          <w:szCs w:val="24"/>
        </w:rPr>
        <w:t>to</w:t>
      </w:r>
      <w:r w:rsidR="0058552F" w:rsidRPr="00341756">
        <w:rPr>
          <w:rFonts w:asciiTheme="majorBidi" w:hAnsiTheme="majorBidi" w:cstheme="majorBidi"/>
          <w:color w:val="auto"/>
          <w:sz w:val="24"/>
          <w:szCs w:val="24"/>
        </w:rPr>
        <w:t xml:space="preserve"> maintain positive legitimacy from stakeholders so that the company can maintain the reputation </w:t>
      </w:r>
      <w:r w:rsidR="00422AF6">
        <w:rPr>
          <w:rFonts w:asciiTheme="majorBidi" w:hAnsiTheme="majorBidi" w:cstheme="majorBidi"/>
          <w:color w:val="auto"/>
          <w:sz w:val="24"/>
          <w:szCs w:val="24"/>
        </w:rPr>
        <w:t>which</w:t>
      </w:r>
      <w:r w:rsidR="00422AF6" w:rsidRPr="00341756">
        <w:rPr>
          <w:rFonts w:asciiTheme="majorBidi" w:hAnsiTheme="majorBidi" w:cstheme="majorBidi"/>
          <w:color w:val="auto"/>
          <w:sz w:val="24"/>
          <w:szCs w:val="24"/>
        </w:rPr>
        <w:t xml:space="preserve"> </w:t>
      </w:r>
      <w:r w:rsidR="00422AF6">
        <w:rPr>
          <w:rFonts w:asciiTheme="majorBidi" w:hAnsiTheme="majorBidi" w:cstheme="majorBidi"/>
          <w:color w:val="auto"/>
          <w:sz w:val="24"/>
          <w:szCs w:val="24"/>
        </w:rPr>
        <w:t>was</w:t>
      </w:r>
      <w:r w:rsidR="0058552F" w:rsidRPr="00341756">
        <w:rPr>
          <w:rFonts w:asciiTheme="majorBidi" w:hAnsiTheme="majorBidi" w:cstheme="majorBidi"/>
          <w:color w:val="auto"/>
          <w:sz w:val="24"/>
          <w:szCs w:val="24"/>
        </w:rPr>
        <w:t xml:space="preserve"> built so far and improve profitability in the future so as to maintain the continuity and existence of its business </w:t>
      </w:r>
      <w:r w:rsidR="00965052">
        <w:rPr>
          <w:rFonts w:asciiTheme="majorBidi" w:hAnsiTheme="majorBidi" w:cstheme="majorBidi"/>
          <w:color w:val="auto"/>
          <w:sz w:val="24"/>
          <w:szCs w:val="24"/>
        </w:rPr>
        <w:t>for</w:t>
      </w:r>
      <w:r w:rsidR="00965052" w:rsidRPr="00341756">
        <w:rPr>
          <w:rFonts w:asciiTheme="majorBidi" w:hAnsiTheme="majorBidi" w:cstheme="majorBidi"/>
          <w:color w:val="auto"/>
          <w:sz w:val="24"/>
          <w:szCs w:val="24"/>
        </w:rPr>
        <w:t xml:space="preserve"> </w:t>
      </w:r>
      <w:r w:rsidR="0058552F" w:rsidRPr="00341756">
        <w:rPr>
          <w:rFonts w:asciiTheme="majorBidi" w:hAnsiTheme="majorBidi" w:cstheme="majorBidi"/>
          <w:color w:val="auto"/>
          <w:sz w:val="24"/>
          <w:szCs w:val="24"/>
        </w:rPr>
        <w:t>long period of time.</w:t>
      </w:r>
      <w:r w:rsidR="00804D07" w:rsidRPr="00341756">
        <w:rPr>
          <w:rFonts w:asciiTheme="majorBidi" w:hAnsiTheme="majorBidi" w:cstheme="majorBidi"/>
          <w:color w:val="auto"/>
          <w:sz w:val="24"/>
          <w:szCs w:val="24"/>
        </w:rPr>
        <w:t xml:space="preserve"> Return on assets is the ratio of net income to total assets.</w:t>
      </w:r>
    </w:p>
    <w:p w14:paraId="1065FDF9" w14:textId="77777777" w:rsidR="00471F0B" w:rsidRPr="00341756" w:rsidRDefault="006F1C64"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 xml:space="preserve">The financial leverage </w:t>
      </w:r>
    </w:p>
    <w:p w14:paraId="015C9E52" w14:textId="48B22CBC" w:rsidR="00ED431B" w:rsidRPr="00341756" w:rsidRDefault="00ED431B" w:rsidP="000F09DF">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 xml:space="preserve">A company </w:t>
      </w:r>
      <w:r w:rsidR="000F09DF">
        <w:rPr>
          <w:rFonts w:asciiTheme="majorBidi" w:hAnsiTheme="majorBidi" w:cstheme="majorBidi"/>
          <w:color w:val="000000" w:themeColor="text1"/>
          <w:sz w:val="24"/>
          <w:szCs w:val="24"/>
        </w:rPr>
        <w:t>which</w:t>
      </w:r>
      <w:r w:rsidR="000F09DF" w:rsidRPr="00341756">
        <w:rPr>
          <w:rFonts w:asciiTheme="majorBidi" w:hAnsiTheme="majorBidi" w:cstheme="majorBidi"/>
          <w:color w:val="000000" w:themeColor="text1"/>
          <w:sz w:val="24"/>
          <w:szCs w:val="24"/>
        </w:rPr>
        <w:t xml:space="preserve"> </w:t>
      </w:r>
      <w:r w:rsidRPr="00341756">
        <w:rPr>
          <w:rFonts w:asciiTheme="majorBidi" w:hAnsiTheme="majorBidi" w:cstheme="majorBidi"/>
          <w:color w:val="000000" w:themeColor="text1"/>
          <w:sz w:val="24"/>
          <w:szCs w:val="24"/>
        </w:rPr>
        <w:t>relies more on debt financing than equity to operations would have a lower effective tax rate (</w:t>
      </w:r>
      <w:hyperlink w:anchor="w54" w:history="1">
        <w:r w:rsidRPr="00341756">
          <w:rPr>
            <w:rStyle w:val="Hyperlink"/>
            <w:rFonts w:asciiTheme="majorBidi" w:hAnsiTheme="majorBidi" w:cstheme="majorBidi"/>
            <w:sz w:val="24"/>
            <w:szCs w:val="24"/>
          </w:rPr>
          <w:t xml:space="preserve">Richardson </w:t>
        </w:r>
        <w:r w:rsidR="00A93F34" w:rsidRPr="00341756">
          <w:rPr>
            <w:rStyle w:val="Hyperlink"/>
            <w:rFonts w:asciiTheme="majorBidi" w:hAnsiTheme="majorBidi" w:cstheme="majorBidi"/>
            <w:sz w:val="24"/>
            <w:szCs w:val="24"/>
          </w:rPr>
          <w:t>&amp;</w:t>
        </w:r>
        <w:r w:rsidRPr="00341756">
          <w:rPr>
            <w:rStyle w:val="Hyperlink"/>
            <w:rFonts w:asciiTheme="majorBidi" w:hAnsiTheme="majorBidi" w:cstheme="majorBidi"/>
            <w:sz w:val="24"/>
            <w:szCs w:val="24"/>
          </w:rPr>
          <w:t xml:space="preserve"> </w:t>
        </w:r>
        <w:proofErr w:type="spellStart"/>
        <w:r w:rsidRPr="00341756">
          <w:rPr>
            <w:rStyle w:val="Hyperlink"/>
            <w:rFonts w:asciiTheme="majorBidi" w:hAnsiTheme="majorBidi" w:cstheme="majorBidi"/>
            <w:sz w:val="24"/>
            <w:szCs w:val="24"/>
          </w:rPr>
          <w:t>Lanis</w:t>
        </w:r>
        <w:proofErr w:type="spellEnd"/>
        <w:r w:rsidRPr="00341756">
          <w:rPr>
            <w:rStyle w:val="Hyperlink"/>
            <w:rFonts w:asciiTheme="majorBidi" w:hAnsiTheme="majorBidi" w:cstheme="majorBidi"/>
            <w:sz w:val="24"/>
            <w:szCs w:val="24"/>
          </w:rPr>
          <w:t>, 2007</w:t>
        </w:r>
      </w:hyperlink>
      <w:r w:rsidRPr="00341756">
        <w:rPr>
          <w:rFonts w:asciiTheme="majorBidi" w:hAnsiTheme="majorBidi" w:cstheme="majorBidi"/>
          <w:color w:val="000000" w:themeColor="text1"/>
          <w:sz w:val="24"/>
          <w:szCs w:val="24"/>
        </w:rPr>
        <w:t xml:space="preserve">). The large lever firms might be motivated to use tax avoidance as a tool to save cash </w:t>
      </w:r>
      <w:r w:rsidR="00983832">
        <w:rPr>
          <w:rFonts w:asciiTheme="majorBidi" w:hAnsiTheme="majorBidi" w:cstheme="majorBidi"/>
          <w:color w:val="000000" w:themeColor="text1"/>
          <w:sz w:val="24"/>
          <w:szCs w:val="24"/>
        </w:rPr>
        <w:t>to</w:t>
      </w:r>
      <w:r w:rsidRPr="00341756">
        <w:rPr>
          <w:rFonts w:asciiTheme="majorBidi" w:hAnsiTheme="majorBidi" w:cstheme="majorBidi"/>
          <w:color w:val="000000" w:themeColor="text1"/>
          <w:sz w:val="24"/>
          <w:szCs w:val="24"/>
        </w:rPr>
        <w:t xml:space="preserve"> pay their debts (</w:t>
      </w:r>
      <w:proofErr w:type="spellStart"/>
      <w:r w:rsidR="008C53F0">
        <w:fldChar w:fldCharType="begin"/>
      </w:r>
      <w:r w:rsidR="008C53F0">
        <w:instrText xml:space="preserve"> HYPERLINK \l "w42" </w:instrText>
      </w:r>
      <w:r w:rsidR="008C53F0">
        <w:fldChar w:fldCharType="separate"/>
      </w:r>
      <w:r w:rsidRPr="00341756">
        <w:rPr>
          <w:rStyle w:val="Hyperlink"/>
          <w:rFonts w:asciiTheme="majorBidi" w:hAnsiTheme="majorBidi" w:cstheme="majorBidi"/>
          <w:sz w:val="24"/>
          <w:szCs w:val="24"/>
        </w:rPr>
        <w:t>Badertscher</w:t>
      </w:r>
      <w:proofErr w:type="spellEnd"/>
      <w:r w:rsidR="00C02496" w:rsidRPr="00341756">
        <w:rPr>
          <w:rStyle w:val="Hyperlink"/>
          <w:rFonts w:asciiTheme="majorBidi" w:hAnsiTheme="majorBidi" w:cstheme="majorBidi"/>
          <w:sz w:val="24"/>
          <w:szCs w:val="24"/>
        </w:rPr>
        <w:t xml:space="preserve"> et al.</w:t>
      </w:r>
      <w:r w:rsidRPr="00341756">
        <w:rPr>
          <w:rStyle w:val="Hyperlink"/>
          <w:rFonts w:asciiTheme="majorBidi" w:hAnsiTheme="majorBidi" w:cstheme="majorBidi"/>
          <w:sz w:val="24"/>
          <w:szCs w:val="24"/>
        </w:rPr>
        <w:t>, 2013</w:t>
      </w:r>
      <w:r w:rsidR="008C53F0">
        <w:rPr>
          <w:rStyle w:val="Hyperlink"/>
          <w:rFonts w:asciiTheme="majorBidi" w:hAnsiTheme="majorBidi" w:cstheme="majorBidi"/>
          <w:sz w:val="24"/>
          <w:szCs w:val="24"/>
        </w:rPr>
        <w:fldChar w:fldCharType="end"/>
      </w:r>
      <w:r w:rsidRPr="00341756">
        <w:rPr>
          <w:rFonts w:asciiTheme="majorBidi" w:hAnsiTheme="majorBidi" w:cstheme="majorBidi"/>
          <w:color w:val="000000" w:themeColor="text1"/>
          <w:sz w:val="24"/>
          <w:szCs w:val="24"/>
        </w:rPr>
        <w:t>). The variable is calculated by the ratio of total debt to total assets.</w:t>
      </w:r>
    </w:p>
    <w:p w14:paraId="0B690880" w14:textId="135D679D" w:rsidR="00BC07F0" w:rsidRPr="00341756" w:rsidRDefault="00BC07F0"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Firm’s chance for growth</w:t>
      </w:r>
    </w:p>
    <w:p w14:paraId="7BEA912B" w14:textId="79C26310" w:rsidR="002B00A0" w:rsidRPr="00341756" w:rsidRDefault="003C764D" w:rsidP="00F1180A">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 xml:space="preserve">We calculate this variable by the ratio of market value to book value. </w:t>
      </w:r>
      <w:r w:rsidR="002F498B" w:rsidRPr="002F498B">
        <w:t>The firm’s chance for growth can positively affect the tax avoidance level (</w:t>
      </w:r>
      <w:hyperlink w:anchor="w55" w:tgtFrame="_blank" w:history="1">
        <w:r w:rsidR="002F498B" w:rsidRPr="002F498B">
          <w:rPr>
            <w:color w:val="4A6EE0"/>
            <w:u w:val="single"/>
          </w:rPr>
          <w:t>Richardson et al., 2015</w:t>
        </w:r>
      </w:hyperlink>
      <w:r w:rsidR="002F498B" w:rsidRPr="002F498B">
        <w:t>). </w:t>
      </w:r>
      <w:r w:rsidR="009207E0" w:rsidRPr="00341756">
        <w:rPr>
          <w:rFonts w:asciiTheme="majorBidi" w:hAnsiTheme="majorBidi" w:cstheme="majorBidi"/>
          <w:color w:val="000000" w:themeColor="text1"/>
          <w:sz w:val="24"/>
          <w:szCs w:val="24"/>
        </w:rPr>
        <w:t xml:space="preserve">Management </w:t>
      </w:r>
      <w:r w:rsidRPr="00341756">
        <w:rPr>
          <w:rFonts w:asciiTheme="majorBidi" w:hAnsiTheme="majorBidi" w:cstheme="majorBidi"/>
          <w:color w:val="000000" w:themeColor="text1"/>
          <w:sz w:val="24"/>
          <w:szCs w:val="24"/>
        </w:rPr>
        <w:t xml:space="preserve">may </w:t>
      </w:r>
      <w:r w:rsidR="009207E0" w:rsidRPr="00341756">
        <w:rPr>
          <w:rFonts w:asciiTheme="majorBidi" w:hAnsiTheme="majorBidi" w:cstheme="majorBidi"/>
          <w:color w:val="000000" w:themeColor="text1"/>
          <w:sz w:val="24"/>
          <w:szCs w:val="24"/>
        </w:rPr>
        <w:t xml:space="preserve">have more tax planning opportunities </w:t>
      </w:r>
      <w:r w:rsidRPr="00341756">
        <w:rPr>
          <w:rFonts w:asciiTheme="majorBidi" w:hAnsiTheme="majorBidi" w:cstheme="majorBidi"/>
          <w:color w:val="000000" w:themeColor="text1"/>
          <w:sz w:val="24"/>
          <w:szCs w:val="24"/>
        </w:rPr>
        <w:t xml:space="preserve">due to the </w:t>
      </w:r>
      <w:r w:rsidR="009207E0" w:rsidRPr="00341756">
        <w:rPr>
          <w:rFonts w:asciiTheme="majorBidi" w:hAnsiTheme="majorBidi" w:cstheme="majorBidi"/>
          <w:color w:val="000000" w:themeColor="text1"/>
          <w:sz w:val="24"/>
          <w:szCs w:val="24"/>
        </w:rPr>
        <w:t>changing environment and increased access to international markets and products</w:t>
      </w:r>
      <w:r w:rsidRPr="00341756">
        <w:rPr>
          <w:rFonts w:asciiTheme="majorBidi" w:hAnsiTheme="majorBidi" w:cstheme="majorBidi"/>
          <w:color w:val="000000" w:themeColor="text1"/>
          <w:sz w:val="24"/>
          <w:szCs w:val="24"/>
        </w:rPr>
        <w:t>.</w:t>
      </w:r>
      <w:r w:rsidR="009207E0" w:rsidRPr="00341756">
        <w:rPr>
          <w:rFonts w:asciiTheme="majorBidi" w:hAnsiTheme="majorBidi" w:cstheme="majorBidi"/>
          <w:color w:val="000000" w:themeColor="text1"/>
          <w:sz w:val="24"/>
          <w:szCs w:val="24"/>
        </w:rPr>
        <w:t xml:space="preserve"> </w:t>
      </w:r>
      <w:r w:rsidR="00F1180A">
        <w:rPr>
          <w:rFonts w:asciiTheme="majorBidi" w:hAnsiTheme="majorBidi" w:cstheme="majorBidi"/>
          <w:color w:val="000000" w:themeColor="text1"/>
          <w:sz w:val="24"/>
          <w:szCs w:val="24"/>
        </w:rPr>
        <w:t>Hence</w:t>
      </w:r>
      <w:r w:rsidRPr="00341756">
        <w:rPr>
          <w:rFonts w:asciiTheme="majorBidi" w:hAnsiTheme="majorBidi" w:cstheme="majorBidi"/>
          <w:color w:val="000000" w:themeColor="text1"/>
          <w:sz w:val="24"/>
          <w:szCs w:val="24"/>
        </w:rPr>
        <w:t>, managers</w:t>
      </w:r>
      <w:r w:rsidR="009207E0" w:rsidRPr="00341756">
        <w:rPr>
          <w:rFonts w:asciiTheme="majorBidi" w:hAnsiTheme="majorBidi" w:cstheme="majorBidi"/>
          <w:color w:val="000000" w:themeColor="text1"/>
          <w:sz w:val="24"/>
          <w:szCs w:val="24"/>
        </w:rPr>
        <w:t xml:space="preserve"> </w:t>
      </w:r>
      <w:r w:rsidRPr="00341756">
        <w:rPr>
          <w:rFonts w:asciiTheme="majorBidi" w:hAnsiTheme="majorBidi" w:cstheme="majorBidi"/>
          <w:color w:val="000000" w:themeColor="text1"/>
          <w:sz w:val="24"/>
          <w:szCs w:val="24"/>
        </w:rPr>
        <w:t>would</w:t>
      </w:r>
      <w:r w:rsidR="009207E0" w:rsidRPr="00341756">
        <w:rPr>
          <w:rFonts w:asciiTheme="majorBidi" w:hAnsiTheme="majorBidi" w:cstheme="majorBidi"/>
          <w:color w:val="000000" w:themeColor="text1"/>
          <w:sz w:val="24"/>
          <w:szCs w:val="24"/>
        </w:rPr>
        <w:t xml:space="preserve"> identify more tax avoidance opportunities (</w:t>
      </w:r>
      <w:hyperlink w:anchor="w56" w:history="1">
        <w:r w:rsidR="009207E0" w:rsidRPr="00341756">
          <w:rPr>
            <w:rStyle w:val="Hyperlink"/>
            <w:rFonts w:asciiTheme="majorBidi" w:hAnsiTheme="majorBidi" w:cstheme="majorBidi"/>
            <w:sz w:val="24"/>
            <w:szCs w:val="24"/>
          </w:rPr>
          <w:t>Koester</w:t>
        </w:r>
        <w:r w:rsidR="007215EE" w:rsidRPr="00341756">
          <w:rPr>
            <w:rStyle w:val="Hyperlink"/>
            <w:rFonts w:asciiTheme="majorBidi" w:hAnsiTheme="majorBidi" w:cstheme="majorBidi"/>
            <w:sz w:val="24"/>
            <w:szCs w:val="24"/>
          </w:rPr>
          <w:t xml:space="preserve"> et al.</w:t>
        </w:r>
        <w:r w:rsidR="009207E0" w:rsidRPr="00341756">
          <w:rPr>
            <w:rStyle w:val="Hyperlink"/>
            <w:rFonts w:asciiTheme="majorBidi" w:hAnsiTheme="majorBidi" w:cstheme="majorBidi"/>
            <w:sz w:val="24"/>
            <w:szCs w:val="24"/>
          </w:rPr>
          <w:t>, 2013</w:t>
        </w:r>
      </w:hyperlink>
      <w:r w:rsidR="009207E0" w:rsidRPr="00341756">
        <w:rPr>
          <w:rFonts w:asciiTheme="majorBidi" w:hAnsiTheme="majorBidi" w:cstheme="majorBidi"/>
          <w:color w:val="000000" w:themeColor="text1"/>
          <w:sz w:val="24"/>
          <w:szCs w:val="24"/>
        </w:rPr>
        <w:t xml:space="preserve">). </w:t>
      </w:r>
    </w:p>
    <w:p w14:paraId="2E8FC008" w14:textId="4A580D52" w:rsidR="00471F0B" w:rsidRPr="00341756" w:rsidRDefault="006F1C64"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 xml:space="preserve">Distress risk </w:t>
      </w:r>
    </w:p>
    <w:p w14:paraId="7593CC80" w14:textId="315F4D82" w:rsidR="00A53CAB" w:rsidRPr="00341756" w:rsidRDefault="00A53CAB" w:rsidP="00905656">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lastRenderedPageBreak/>
        <w:t xml:space="preserve">Distress risk is obtained </w:t>
      </w:r>
      <w:r w:rsidR="00905656">
        <w:rPr>
          <w:rFonts w:asciiTheme="majorBidi" w:hAnsiTheme="majorBidi" w:cstheme="majorBidi"/>
          <w:color w:val="000000" w:themeColor="text1"/>
          <w:sz w:val="24"/>
          <w:szCs w:val="24"/>
        </w:rPr>
        <w:t>via</w:t>
      </w:r>
      <w:r w:rsidR="00905656" w:rsidRPr="00341756">
        <w:rPr>
          <w:rFonts w:asciiTheme="majorBidi" w:hAnsiTheme="majorBidi" w:cstheme="majorBidi"/>
          <w:color w:val="000000" w:themeColor="text1"/>
          <w:sz w:val="24"/>
          <w:szCs w:val="24"/>
        </w:rPr>
        <w:t xml:space="preserve"> </w:t>
      </w:r>
      <w:r w:rsidRPr="00341756">
        <w:rPr>
          <w:rFonts w:asciiTheme="majorBidi" w:hAnsiTheme="majorBidi" w:cstheme="majorBidi"/>
          <w:color w:val="000000" w:themeColor="text1"/>
          <w:sz w:val="24"/>
          <w:szCs w:val="24"/>
        </w:rPr>
        <w:t>Z-score that measures a firm’s default risk. A high Z-score represents low default risk, meaning that a firm is in excellent financial condition. A firm in financial distress is more motivated to avoid tax (</w:t>
      </w:r>
      <w:hyperlink w:anchor="w55" w:history="1">
        <w:r w:rsidRPr="00341756">
          <w:rPr>
            <w:rStyle w:val="Hyperlink"/>
            <w:rFonts w:asciiTheme="majorBidi" w:hAnsiTheme="majorBidi" w:cstheme="majorBidi"/>
            <w:sz w:val="24"/>
            <w:szCs w:val="24"/>
          </w:rPr>
          <w:t>Richardson</w:t>
        </w:r>
        <w:r w:rsidR="007215EE" w:rsidRPr="00341756">
          <w:rPr>
            <w:rStyle w:val="Hyperlink"/>
            <w:rFonts w:asciiTheme="majorBidi" w:hAnsiTheme="majorBidi" w:cstheme="majorBidi"/>
            <w:sz w:val="24"/>
            <w:szCs w:val="24"/>
          </w:rPr>
          <w:t xml:space="preserve"> et al</w:t>
        </w:r>
        <w:r w:rsidR="00C85ACC">
          <w:rPr>
            <w:rStyle w:val="Hyperlink"/>
            <w:rFonts w:asciiTheme="majorBidi" w:hAnsiTheme="majorBidi" w:cstheme="majorBidi"/>
            <w:sz w:val="24"/>
            <w:szCs w:val="24"/>
          </w:rPr>
          <w:t>.</w:t>
        </w:r>
        <w:r w:rsidRPr="00341756">
          <w:rPr>
            <w:rStyle w:val="Hyperlink"/>
            <w:rFonts w:asciiTheme="majorBidi" w:hAnsiTheme="majorBidi" w:cstheme="majorBidi"/>
            <w:sz w:val="24"/>
            <w:szCs w:val="24"/>
          </w:rPr>
          <w:t>, 2015</w:t>
        </w:r>
      </w:hyperlink>
      <w:r w:rsidRPr="00341756">
        <w:rPr>
          <w:rFonts w:asciiTheme="majorBidi" w:hAnsiTheme="majorBidi" w:cstheme="majorBidi"/>
          <w:color w:val="000000" w:themeColor="text1"/>
          <w:sz w:val="24"/>
          <w:szCs w:val="24"/>
        </w:rPr>
        <w:t>). The chances of modified auditor opinion are higher when the firm’s distress risk increases (</w:t>
      </w:r>
      <w:proofErr w:type="spellStart"/>
      <w:r w:rsidR="008C53F0">
        <w:fldChar w:fldCharType="begin"/>
      </w:r>
      <w:r w:rsidR="008C53F0">
        <w:instrText xml:space="preserve"> HYPERLINK \l "w57" </w:instrText>
      </w:r>
      <w:r w:rsidR="008C53F0">
        <w:fldChar w:fldCharType="separate"/>
      </w:r>
      <w:r w:rsidRPr="00341756">
        <w:rPr>
          <w:rStyle w:val="Hyperlink"/>
          <w:rFonts w:asciiTheme="majorBidi" w:hAnsiTheme="majorBidi" w:cstheme="majorBidi"/>
          <w:sz w:val="24"/>
          <w:szCs w:val="24"/>
        </w:rPr>
        <w:t>Hudaib</w:t>
      </w:r>
      <w:proofErr w:type="spellEnd"/>
      <w:r w:rsidRPr="00341756">
        <w:rPr>
          <w:rStyle w:val="Hyperlink"/>
          <w:rFonts w:asciiTheme="majorBidi" w:hAnsiTheme="majorBidi" w:cstheme="majorBidi"/>
          <w:sz w:val="24"/>
          <w:szCs w:val="24"/>
        </w:rPr>
        <w:t xml:space="preserve"> </w:t>
      </w:r>
      <w:r w:rsidR="00C80DF1" w:rsidRPr="00341756">
        <w:rPr>
          <w:rStyle w:val="Hyperlink"/>
          <w:rFonts w:asciiTheme="majorBidi" w:hAnsiTheme="majorBidi" w:cstheme="majorBidi"/>
          <w:sz w:val="24"/>
          <w:szCs w:val="24"/>
        </w:rPr>
        <w:t>&amp;</w:t>
      </w:r>
      <w:r w:rsidRPr="00341756">
        <w:rPr>
          <w:rStyle w:val="Hyperlink"/>
          <w:rFonts w:asciiTheme="majorBidi" w:hAnsiTheme="majorBidi" w:cstheme="majorBidi"/>
          <w:sz w:val="24"/>
          <w:szCs w:val="24"/>
        </w:rPr>
        <w:t xml:space="preserve"> Cooke, 2005</w:t>
      </w:r>
      <w:r w:rsidR="008C53F0">
        <w:rPr>
          <w:rStyle w:val="Hyperlink"/>
          <w:rFonts w:asciiTheme="majorBidi" w:hAnsiTheme="majorBidi" w:cstheme="majorBidi"/>
          <w:sz w:val="24"/>
          <w:szCs w:val="24"/>
        </w:rPr>
        <w:fldChar w:fldCharType="end"/>
      </w:r>
      <w:r w:rsidRPr="00341756">
        <w:rPr>
          <w:rFonts w:asciiTheme="majorBidi" w:hAnsiTheme="majorBidi" w:cstheme="majorBidi"/>
          <w:color w:val="000000" w:themeColor="text1"/>
          <w:sz w:val="24"/>
          <w:szCs w:val="24"/>
        </w:rPr>
        <w:t xml:space="preserve">). </w:t>
      </w:r>
    </w:p>
    <w:p w14:paraId="585116FE" w14:textId="3D7967E7" w:rsidR="00471F0B" w:rsidRPr="00341756" w:rsidRDefault="006F1C64"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 xml:space="preserve">Intangible assets </w:t>
      </w:r>
    </w:p>
    <w:p w14:paraId="419378E2" w14:textId="7D4C52B4" w:rsidR="006F1C64" w:rsidRPr="00341756" w:rsidRDefault="003A231B" w:rsidP="00F9736C">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 xml:space="preserve">We calculate this variable by the ratio of intangible assets to total assets. </w:t>
      </w:r>
      <w:r w:rsidR="0081648A" w:rsidRPr="00341756">
        <w:rPr>
          <w:rFonts w:asciiTheme="majorBidi" w:hAnsiTheme="majorBidi" w:cstheme="majorBidi"/>
          <w:color w:val="000000" w:themeColor="text1"/>
          <w:sz w:val="24"/>
          <w:szCs w:val="24"/>
        </w:rPr>
        <w:t xml:space="preserve">The intangible assets </w:t>
      </w:r>
      <w:r w:rsidRPr="00341756">
        <w:rPr>
          <w:rFonts w:asciiTheme="majorBidi" w:hAnsiTheme="majorBidi" w:cstheme="majorBidi"/>
          <w:color w:val="000000" w:themeColor="text1"/>
          <w:sz w:val="24"/>
          <w:szCs w:val="24"/>
        </w:rPr>
        <w:t xml:space="preserve">do not have a </w:t>
      </w:r>
      <w:r w:rsidR="0081648A" w:rsidRPr="00341756">
        <w:rPr>
          <w:rFonts w:asciiTheme="majorBidi" w:hAnsiTheme="majorBidi" w:cstheme="majorBidi"/>
          <w:color w:val="000000" w:themeColor="text1"/>
          <w:sz w:val="24"/>
          <w:szCs w:val="24"/>
        </w:rPr>
        <w:t xml:space="preserve">well-established market and subjective valuation </w:t>
      </w:r>
      <w:r w:rsidR="00EF43DF">
        <w:rPr>
          <w:rFonts w:asciiTheme="majorBidi" w:hAnsiTheme="majorBidi" w:cstheme="majorBidi"/>
          <w:color w:val="000000" w:themeColor="text1"/>
          <w:sz w:val="24"/>
          <w:szCs w:val="24"/>
        </w:rPr>
        <w:t>which</w:t>
      </w:r>
      <w:r w:rsidR="00EF43DF" w:rsidRPr="00341756">
        <w:rPr>
          <w:rFonts w:asciiTheme="majorBidi" w:hAnsiTheme="majorBidi" w:cstheme="majorBidi"/>
          <w:color w:val="000000" w:themeColor="text1"/>
          <w:sz w:val="24"/>
          <w:szCs w:val="24"/>
        </w:rPr>
        <w:t xml:space="preserve"> </w:t>
      </w:r>
      <w:r w:rsidR="0081648A" w:rsidRPr="00341756">
        <w:rPr>
          <w:rFonts w:asciiTheme="majorBidi" w:hAnsiTheme="majorBidi" w:cstheme="majorBidi"/>
          <w:color w:val="000000" w:themeColor="text1"/>
          <w:sz w:val="24"/>
          <w:szCs w:val="24"/>
        </w:rPr>
        <w:t xml:space="preserve">can be exploited in different jurisdictions. </w:t>
      </w:r>
      <w:r w:rsidRPr="00341756">
        <w:rPr>
          <w:rFonts w:asciiTheme="majorBidi" w:hAnsiTheme="majorBidi" w:cstheme="majorBidi"/>
          <w:color w:val="000000" w:themeColor="text1"/>
          <w:sz w:val="24"/>
          <w:szCs w:val="24"/>
        </w:rPr>
        <w:t>Therefore,</w:t>
      </w:r>
      <w:r w:rsidR="0081648A" w:rsidRPr="00341756">
        <w:rPr>
          <w:rFonts w:asciiTheme="majorBidi" w:hAnsiTheme="majorBidi" w:cstheme="majorBidi"/>
          <w:color w:val="000000" w:themeColor="text1"/>
          <w:sz w:val="24"/>
          <w:szCs w:val="24"/>
        </w:rPr>
        <w:t xml:space="preserve"> there is a </w:t>
      </w:r>
      <w:r w:rsidR="004E529D" w:rsidRPr="00341756">
        <w:rPr>
          <w:rFonts w:asciiTheme="majorBidi" w:hAnsiTheme="majorBidi" w:cstheme="majorBidi"/>
          <w:color w:val="000000" w:themeColor="text1"/>
          <w:sz w:val="24"/>
          <w:szCs w:val="24"/>
        </w:rPr>
        <w:t>strong</w:t>
      </w:r>
      <w:r w:rsidR="0081648A" w:rsidRPr="00341756">
        <w:rPr>
          <w:rFonts w:asciiTheme="majorBidi" w:hAnsiTheme="majorBidi" w:cstheme="majorBidi"/>
          <w:color w:val="000000" w:themeColor="text1"/>
          <w:sz w:val="24"/>
          <w:szCs w:val="24"/>
        </w:rPr>
        <w:t xml:space="preserve"> possibility of tax avoidance on the intangible assets’ transfer when there is a difference in the effective tax rate </w:t>
      </w:r>
      <w:r w:rsidR="00F9736C">
        <w:rPr>
          <w:rFonts w:asciiTheme="majorBidi" w:hAnsiTheme="majorBidi" w:cstheme="majorBidi"/>
          <w:color w:val="000000" w:themeColor="text1"/>
          <w:sz w:val="24"/>
          <w:szCs w:val="24"/>
        </w:rPr>
        <w:t>among</w:t>
      </w:r>
      <w:r w:rsidR="00F9736C" w:rsidRPr="00341756">
        <w:rPr>
          <w:rFonts w:asciiTheme="majorBidi" w:hAnsiTheme="majorBidi" w:cstheme="majorBidi"/>
          <w:color w:val="000000" w:themeColor="text1"/>
          <w:sz w:val="24"/>
          <w:szCs w:val="24"/>
        </w:rPr>
        <w:t xml:space="preserve"> </w:t>
      </w:r>
      <w:r w:rsidR="0081648A" w:rsidRPr="00341756">
        <w:rPr>
          <w:rFonts w:asciiTheme="majorBidi" w:hAnsiTheme="majorBidi" w:cstheme="majorBidi"/>
          <w:color w:val="000000" w:themeColor="text1"/>
          <w:sz w:val="24"/>
          <w:szCs w:val="24"/>
        </w:rPr>
        <w:t>different jurisdictions</w:t>
      </w:r>
      <w:r w:rsidRPr="00341756">
        <w:rPr>
          <w:rFonts w:asciiTheme="majorBidi" w:hAnsiTheme="majorBidi" w:cstheme="majorBidi"/>
          <w:color w:val="000000" w:themeColor="text1"/>
          <w:sz w:val="24"/>
          <w:szCs w:val="24"/>
        </w:rPr>
        <w:t xml:space="preserve"> </w:t>
      </w:r>
      <w:r w:rsidR="006F1C64" w:rsidRPr="00341756">
        <w:rPr>
          <w:rFonts w:asciiTheme="majorBidi" w:hAnsiTheme="majorBidi" w:cstheme="majorBidi"/>
          <w:color w:val="000000" w:themeColor="text1"/>
          <w:sz w:val="24"/>
          <w:szCs w:val="24"/>
        </w:rPr>
        <w:t>(</w:t>
      </w:r>
      <w:proofErr w:type="spellStart"/>
      <w:r w:rsidR="008C53F0">
        <w:fldChar w:fldCharType="begin"/>
      </w:r>
      <w:r w:rsidR="008C53F0">
        <w:instrText xml:space="preserve"> HYPERLINK \l "w58" </w:instrText>
      </w:r>
      <w:r w:rsidR="008C53F0">
        <w:fldChar w:fldCharType="separate"/>
      </w:r>
      <w:r w:rsidR="006F1C64" w:rsidRPr="00341756">
        <w:rPr>
          <w:rStyle w:val="Hyperlink"/>
          <w:rFonts w:asciiTheme="majorBidi" w:hAnsiTheme="majorBidi" w:cstheme="majorBidi"/>
          <w:sz w:val="24"/>
          <w:szCs w:val="24"/>
        </w:rPr>
        <w:t>Tsipouridou</w:t>
      </w:r>
      <w:proofErr w:type="spellEnd"/>
      <w:r w:rsidR="006F1C64" w:rsidRPr="00341756">
        <w:rPr>
          <w:rStyle w:val="Hyperlink"/>
          <w:rFonts w:asciiTheme="majorBidi" w:hAnsiTheme="majorBidi" w:cstheme="majorBidi"/>
          <w:sz w:val="24"/>
          <w:szCs w:val="24"/>
        </w:rPr>
        <w:t xml:space="preserve"> &amp; </w:t>
      </w:r>
      <w:proofErr w:type="spellStart"/>
      <w:r w:rsidR="006F1C64" w:rsidRPr="00341756">
        <w:rPr>
          <w:rStyle w:val="Hyperlink"/>
          <w:rFonts w:asciiTheme="majorBidi" w:hAnsiTheme="majorBidi" w:cstheme="majorBidi"/>
          <w:sz w:val="24"/>
          <w:szCs w:val="24"/>
        </w:rPr>
        <w:t>Spathis</w:t>
      </w:r>
      <w:proofErr w:type="spellEnd"/>
      <w:r w:rsidR="006F1C64" w:rsidRPr="00341756">
        <w:rPr>
          <w:rStyle w:val="Hyperlink"/>
          <w:rFonts w:asciiTheme="majorBidi" w:hAnsiTheme="majorBidi" w:cstheme="majorBidi"/>
          <w:sz w:val="24"/>
          <w:szCs w:val="24"/>
        </w:rPr>
        <w:t>, 2014</w:t>
      </w:r>
      <w:r w:rsidR="008C53F0">
        <w:rPr>
          <w:rStyle w:val="Hyperlink"/>
          <w:rFonts w:asciiTheme="majorBidi" w:hAnsiTheme="majorBidi" w:cstheme="majorBidi"/>
          <w:sz w:val="24"/>
          <w:szCs w:val="24"/>
        </w:rPr>
        <w:fldChar w:fldCharType="end"/>
      </w:r>
      <w:r w:rsidR="006F1C64" w:rsidRPr="00341756">
        <w:rPr>
          <w:rFonts w:asciiTheme="majorBidi" w:hAnsiTheme="majorBidi" w:cstheme="majorBidi"/>
          <w:color w:val="000000" w:themeColor="text1"/>
          <w:sz w:val="24"/>
          <w:szCs w:val="24"/>
        </w:rPr>
        <w:t xml:space="preserve">). </w:t>
      </w:r>
    </w:p>
    <w:p w14:paraId="16EA8BA1" w14:textId="5B4F02FB" w:rsidR="00471F0B" w:rsidRPr="00341756" w:rsidRDefault="002A0573" w:rsidP="007D21BB">
      <w:pPr>
        <w:ind w:left="720"/>
        <w:jc w:val="both"/>
        <w:rPr>
          <w:rFonts w:asciiTheme="majorBidi" w:hAnsiTheme="majorBidi" w:cstheme="majorBidi"/>
          <w:b/>
          <w:bCs/>
          <w:i/>
          <w:iCs/>
          <w:sz w:val="24"/>
          <w:szCs w:val="24"/>
        </w:rPr>
      </w:pPr>
      <w:r w:rsidRPr="00341756">
        <w:rPr>
          <w:rFonts w:asciiTheme="majorBidi" w:hAnsiTheme="majorBidi" w:cstheme="majorBidi"/>
          <w:b/>
          <w:bCs/>
          <w:i/>
          <w:iCs/>
          <w:sz w:val="24"/>
          <w:szCs w:val="24"/>
        </w:rPr>
        <w:t>A</w:t>
      </w:r>
      <w:r w:rsidR="006F1C64" w:rsidRPr="00341756">
        <w:rPr>
          <w:rFonts w:asciiTheme="majorBidi" w:hAnsiTheme="majorBidi" w:cstheme="majorBidi"/>
          <w:b/>
          <w:bCs/>
          <w:i/>
          <w:iCs/>
          <w:sz w:val="24"/>
          <w:szCs w:val="24"/>
        </w:rPr>
        <w:t>uditor’s reputation</w:t>
      </w:r>
    </w:p>
    <w:p w14:paraId="78E1652E" w14:textId="48CD1786" w:rsidR="00270B18" w:rsidRPr="00341756" w:rsidRDefault="003A231B" w:rsidP="001124C8">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 xml:space="preserve">This variable takes (1) if </w:t>
      </w:r>
      <w:r w:rsidR="004E529D" w:rsidRPr="00341756">
        <w:rPr>
          <w:rFonts w:asciiTheme="majorBidi" w:hAnsiTheme="majorBidi" w:cstheme="majorBidi"/>
          <w:color w:val="000000" w:themeColor="text1"/>
          <w:sz w:val="24"/>
          <w:szCs w:val="24"/>
        </w:rPr>
        <w:t xml:space="preserve">the </w:t>
      </w:r>
      <w:r w:rsidRPr="00341756">
        <w:rPr>
          <w:rFonts w:asciiTheme="majorBidi" w:hAnsiTheme="majorBidi" w:cstheme="majorBidi"/>
          <w:color w:val="000000" w:themeColor="text1"/>
          <w:sz w:val="24"/>
          <w:szCs w:val="24"/>
        </w:rPr>
        <w:t xml:space="preserve">firm uses ‘Audit Organization’ as their own independent auditor and (0) otherwise. </w:t>
      </w:r>
      <w:r w:rsidR="002A0573" w:rsidRPr="00341756">
        <w:rPr>
          <w:rFonts w:asciiTheme="majorBidi" w:hAnsiTheme="majorBidi" w:cstheme="majorBidi"/>
          <w:color w:val="000000" w:themeColor="text1"/>
          <w:sz w:val="24"/>
          <w:szCs w:val="24"/>
        </w:rPr>
        <w:t>‘A</w:t>
      </w:r>
      <w:r w:rsidR="006F1C64" w:rsidRPr="00341756">
        <w:rPr>
          <w:rFonts w:asciiTheme="majorBidi" w:hAnsiTheme="majorBidi" w:cstheme="majorBidi"/>
          <w:color w:val="000000" w:themeColor="text1"/>
          <w:sz w:val="24"/>
          <w:szCs w:val="24"/>
        </w:rPr>
        <w:t xml:space="preserve">udit </w:t>
      </w:r>
      <w:r w:rsidR="002A0573" w:rsidRPr="00341756">
        <w:rPr>
          <w:rFonts w:asciiTheme="majorBidi" w:hAnsiTheme="majorBidi" w:cstheme="majorBidi"/>
          <w:color w:val="000000" w:themeColor="text1"/>
          <w:sz w:val="24"/>
          <w:szCs w:val="24"/>
        </w:rPr>
        <w:t>O</w:t>
      </w:r>
      <w:r w:rsidR="006F1C64" w:rsidRPr="00341756">
        <w:rPr>
          <w:rFonts w:asciiTheme="majorBidi" w:hAnsiTheme="majorBidi" w:cstheme="majorBidi"/>
          <w:color w:val="000000" w:themeColor="text1"/>
          <w:sz w:val="24"/>
          <w:szCs w:val="24"/>
        </w:rPr>
        <w:t>rganization</w:t>
      </w:r>
      <w:r w:rsidR="002A0573" w:rsidRPr="00341756">
        <w:rPr>
          <w:rFonts w:asciiTheme="majorBidi" w:hAnsiTheme="majorBidi" w:cstheme="majorBidi"/>
          <w:color w:val="000000" w:themeColor="text1"/>
          <w:sz w:val="24"/>
          <w:szCs w:val="24"/>
        </w:rPr>
        <w:t>’</w:t>
      </w:r>
      <w:r w:rsidR="006F1C64" w:rsidRPr="00341756">
        <w:rPr>
          <w:rFonts w:asciiTheme="majorBidi" w:hAnsiTheme="majorBidi" w:cstheme="majorBidi"/>
          <w:color w:val="000000" w:themeColor="text1"/>
          <w:sz w:val="24"/>
          <w:szCs w:val="24"/>
        </w:rPr>
        <w:t xml:space="preserve"> is the biggest and the most </w:t>
      </w:r>
      <w:r w:rsidRPr="00341756">
        <w:rPr>
          <w:rFonts w:asciiTheme="majorBidi" w:hAnsiTheme="majorBidi" w:cstheme="majorBidi"/>
          <w:color w:val="000000" w:themeColor="text1"/>
          <w:sz w:val="24"/>
          <w:szCs w:val="24"/>
        </w:rPr>
        <w:t xml:space="preserve">experienced and </w:t>
      </w:r>
      <w:r w:rsidR="006F1C64" w:rsidRPr="00341756">
        <w:rPr>
          <w:rFonts w:asciiTheme="majorBidi" w:hAnsiTheme="majorBidi" w:cstheme="majorBidi"/>
          <w:color w:val="000000" w:themeColor="text1"/>
          <w:sz w:val="24"/>
          <w:szCs w:val="24"/>
        </w:rPr>
        <w:t xml:space="preserve">famous </w:t>
      </w:r>
      <w:r w:rsidR="002A0573" w:rsidRPr="00341756">
        <w:rPr>
          <w:rFonts w:asciiTheme="majorBidi" w:hAnsiTheme="majorBidi" w:cstheme="majorBidi"/>
          <w:color w:val="000000" w:themeColor="text1"/>
          <w:sz w:val="24"/>
          <w:szCs w:val="24"/>
        </w:rPr>
        <w:t>auditing entity in Iran</w:t>
      </w:r>
      <w:r w:rsidR="00B3417E" w:rsidRPr="00341756">
        <w:rPr>
          <w:rFonts w:asciiTheme="majorBidi" w:hAnsiTheme="majorBidi" w:cstheme="majorBidi"/>
          <w:color w:val="000000" w:themeColor="text1"/>
          <w:sz w:val="24"/>
          <w:szCs w:val="24"/>
        </w:rPr>
        <w:t xml:space="preserve"> because </w:t>
      </w:r>
      <w:r w:rsidR="00871873" w:rsidRPr="00341756">
        <w:rPr>
          <w:rFonts w:asciiTheme="majorBidi" w:hAnsiTheme="majorBidi" w:cstheme="majorBidi"/>
          <w:color w:val="000000" w:themeColor="text1"/>
          <w:sz w:val="24"/>
          <w:szCs w:val="24"/>
        </w:rPr>
        <w:t>it</w:t>
      </w:r>
      <w:r w:rsidR="00B3417E" w:rsidRPr="00341756">
        <w:rPr>
          <w:rFonts w:asciiTheme="majorBidi" w:hAnsiTheme="majorBidi" w:cstheme="majorBidi"/>
          <w:color w:val="000000" w:themeColor="text1"/>
          <w:sz w:val="24"/>
          <w:szCs w:val="24"/>
        </w:rPr>
        <w:t xml:space="preserve"> has a larger number of audit partners, audit staff and clients, proper quality control systems, and greater diversity in audit services</w:t>
      </w:r>
      <w:r w:rsidR="00871873" w:rsidRPr="00341756">
        <w:rPr>
          <w:color w:val="000000" w:themeColor="text1"/>
        </w:rPr>
        <w:t xml:space="preserve"> </w:t>
      </w:r>
      <w:r w:rsidR="00871873" w:rsidRPr="00341756">
        <w:rPr>
          <w:rFonts w:asciiTheme="majorBidi" w:hAnsiTheme="majorBidi" w:cstheme="majorBidi"/>
          <w:color w:val="000000" w:themeColor="text1"/>
          <w:sz w:val="24"/>
          <w:szCs w:val="24"/>
        </w:rPr>
        <w:t>(</w:t>
      </w:r>
      <w:proofErr w:type="spellStart"/>
      <w:r w:rsidR="008C53F0">
        <w:fldChar w:fldCharType="begin"/>
      </w:r>
      <w:r w:rsidR="008C53F0">
        <w:instrText xml:space="preserve"> HYPERLINK \l "w59" </w:instrText>
      </w:r>
      <w:r w:rsidR="008C53F0">
        <w:fldChar w:fldCharType="separate"/>
      </w:r>
      <w:r w:rsidR="007215EE" w:rsidRPr="00341756">
        <w:rPr>
          <w:rStyle w:val="Hyperlink"/>
          <w:rFonts w:asciiTheme="majorBidi" w:hAnsiTheme="majorBidi" w:cstheme="majorBidi"/>
          <w:sz w:val="24"/>
          <w:szCs w:val="24"/>
        </w:rPr>
        <w:t>Fakhroddin</w:t>
      </w:r>
      <w:proofErr w:type="spellEnd"/>
      <w:r w:rsidR="007215EE" w:rsidRPr="00341756">
        <w:rPr>
          <w:rStyle w:val="Hyperlink"/>
          <w:rFonts w:asciiTheme="majorBidi" w:hAnsiTheme="majorBidi" w:cstheme="majorBidi"/>
          <w:sz w:val="24"/>
          <w:szCs w:val="24"/>
        </w:rPr>
        <w:t xml:space="preserve"> et al.</w:t>
      </w:r>
      <w:r w:rsidR="00871873" w:rsidRPr="00341756">
        <w:rPr>
          <w:rStyle w:val="Hyperlink"/>
          <w:rFonts w:asciiTheme="majorBidi" w:hAnsiTheme="majorBidi" w:cstheme="majorBidi"/>
          <w:sz w:val="24"/>
          <w:szCs w:val="24"/>
        </w:rPr>
        <w:t>, 2018</w:t>
      </w:r>
      <w:r w:rsidR="008C53F0">
        <w:rPr>
          <w:rStyle w:val="Hyperlink"/>
          <w:rFonts w:asciiTheme="majorBidi" w:hAnsiTheme="majorBidi" w:cstheme="majorBidi"/>
          <w:sz w:val="24"/>
          <w:szCs w:val="24"/>
        </w:rPr>
        <w:fldChar w:fldCharType="end"/>
      </w:r>
      <w:r w:rsidR="00871873" w:rsidRPr="00341756">
        <w:rPr>
          <w:rFonts w:asciiTheme="majorBidi" w:hAnsiTheme="majorBidi" w:cstheme="majorBidi"/>
          <w:color w:val="000000" w:themeColor="text1"/>
          <w:sz w:val="24"/>
          <w:szCs w:val="24"/>
        </w:rPr>
        <w:t>).</w:t>
      </w:r>
      <w:r w:rsidR="006F1C64" w:rsidRPr="00341756">
        <w:rPr>
          <w:rFonts w:asciiTheme="majorBidi" w:hAnsiTheme="majorBidi" w:cstheme="majorBidi"/>
          <w:color w:val="000000" w:themeColor="text1"/>
          <w:sz w:val="24"/>
          <w:szCs w:val="24"/>
        </w:rPr>
        <w:t xml:space="preserve"> </w:t>
      </w:r>
    </w:p>
    <w:p w14:paraId="110E0950" w14:textId="3C39C106" w:rsidR="00695948" w:rsidRPr="00341756" w:rsidRDefault="00695948" w:rsidP="007D21BB">
      <w:pPr>
        <w:jc w:val="both"/>
        <w:rPr>
          <w:rFonts w:asciiTheme="majorBidi" w:hAnsiTheme="majorBidi" w:cstheme="majorBidi"/>
          <w:b/>
          <w:bCs/>
          <w:color w:val="000000" w:themeColor="text1"/>
          <w:sz w:val="24"/>
          <w:szCs w:val="24"/>
        </w:rPr>
      </w:pPr>
      <w:r w:rsidRPr="00341756">
        <w:rPr>
          <w:rFonts w:asciiTheme="majorBidi" w:hAnsiTheme="majorBidi" w:cstheme="majorBidi"/>
          <w:b/>
          <w:bCs/>
          <w:color w:val="000000" w:themeColor="text1"/>
          <w:sz w:val="24"/>
          <w:szCs w:val="24"/>
        </w:rPr>
        <w:t xml:space="preserve">3.2 Methods </w:t>
      </w:r>
    </w:p>
    <w:p w14:paraId="3CB7673A" w14:textId="089A6D80" w:rsidR="00500C0A" w:rsidRPr="00341756" w:rsidRDefault="00FD321C" w:rsidP="00612C54">
      <w:pPr>
        <w:jc w:val="both"/>
        <w:rPr>
          <w:rFonts w:asciiTheme="majorBidi" w:hAnsiTheme="majorBidi" w:cstheme="majorBidi"/>
          <w:color w:val="000000" w:themeColor="text1"/>
          <w:sz w:val="24"/>
          <w:szCs w:val="24"/>
          <w:lang w:bidi="fa-IR"/>
        </w:rPr>
      </w:pPr>
      <w:r w:rsidRPr="00341756">
        <w:rPr>
          <w:rFonts w:asciiTheme="majorBidi" w:hAnsiTheme="majorBidi" w:cstheme="majorBidi"/>
          <w:color w:val="000000" w:themeColor="text1"/>
          <w:sz w:val="24"/>
          <w:szCs w:val="24"/>
        </w:rPr>
        <w:t>We use the logistic regression technique</w:t>
      </w:r>
      <w:r w:rsidR="00500C0A" w:rsidRPr="00341756">
        <w:rPr>
          <w:rStyle w:val="FootnoteReference"/>
          <w:rFonts w:asciiTheme="majorBidi" w:hAnsiTheme="majorBidi" w:cstheme="majorBidi"/>
          <w:color w:val="000000" w:themeColor="text1"/>
          <w:sz w:val="24"/>
          <w:szCs w:val="24"/>
        </w:rPr>
        <w:footnoteReference w:id="11"/>
      </w:r>
      <w:r w:rsidR="000165A0" w:rsidRPr="00341756">
        <w:rPr>
          <w:rFonts w:asciiTheme="majorBidi" w:hAnsiTheme="majorBidi" w:cstheme="majorBidi"/>
          <w:color w:val="000000" w:themeColor="text1"/>
          <w:sz w:val="24"/>
          <w:szCs w:val="24"/>
        </w:rPr>
        <w:t xml:space="preserve"> </w:t>
      </w:r>
      <w:r w:rsidRPr="00341756">
        <w:rPr>
          <w:rFonts w:asciiTheme="majorBidi" w:hAnsiTheme="majorBidi" w:cstheme="majorBidi"/>
          <w:color w:val="000000" w:themeColor="text1"/>
          <w:sz w:val="24"/>
          <w:szCs w:val="24"/>
        </w:rPr>
        <w:t xml:space="preserve">to test our </w:t>
      </w:r>
      <w:r w:rsidR="00E10B2B" w:rsidRPr="00341756">
        <w:rPr>
          <w:rFonts w:asciiTheme="majorBidi" w:hAnsiTheme="majorBidi" w:cstheme="majorBidi"/>
          <w:color w:val="000000" w:themeColor="text1"/>
          <w:sz w:val="24"/>
          <w:szCs w:val="24"/>
        </w:rPr>
        <w:t>three</w:t>
      </w:r>
      <w:r w:rsidRPr="00341756">
        <w:rPr>
          <w:rFonts w:asciiTheme="majorBidi" w:hAnsiTheme="majorBidi" w:cstheme="majorBidi"/>
          <w:color w:val="000000" w:themeColor="text1"/>
          <w:sz w:val="24"/>
          <w:szCs w:val="24"/>
        </w:rPr>
        <w:t xml:space="preserve"> hypotheses since our dependent variable is dichotomous (</w:t>
      </w:r>
      <w:hyperlink w:anchor="w60" w:history="1">
        <w:r w:rsidRPr="00341756">
          <w:rPr>
            <w:rStyle w:val="Hyperlink"/>
            <w:rFonts w:asciiTheme="majorBidi" w:hAnsiTheme="majorBidi" w:cstheme="majorBidi"/>
            <w:sz w:val="24"/>
            <w:szCs w:val="24"/>
          </w:rPr>
          <w:t>Miller, Hui &amp; Tierney, 1991</w:t>
        </w:r>
      </w:hyperlink>
      <w:r w:rsidRPr="00341756">
        <w:rPr>
          <w:rFonts w:asciiTheme="majorBidi" w:hAnsiTheme="majorBidi" w:cstheme="majorBidi"/>
          <w:color w:val="000000" w:themeColor="text1"/>
          <w:sz w:val="24"/>
          <w:szCs w:val="24"/>
        </w:rPr>
        <w:t xml:space="preserve">), and the dependent variable is not continuous. Logistic regression is used with data </w:t>
      </w:r>
      <w:r w:rsidR="005C57B6">
        <w:rPr>
          <w:rFonts w:asciiTheme="majorBidi" w:hAnsiTheme="majorBidi" w:cstheme="majorBidi"/>
          <w:color w:val="000000" w:themeColor="text1"/>
          <w:sz w:val="24"/>
          <w:szCs w:val="24"/>
        </w:rPr>
        <w:t>which</w:t>
      </w:r>
      <w:r w:rsidR="005C57B6" w:rsidRPr="00341756">
        <w:rPr>
          <w:rFonts w:asciiTheme="majorBidi" w:hAnsiTheme="majorBidi" w:cstheme="majorBidi"/>
          <w:color w:val="000000" w:themeColor="text1"/>
          <w:sz w:val="24"/>
          <w:szCs w:val="24"/>
        </w:rPr>
        <w:t xml:space="preserve"> </w:t>
      </w:r>
      <w:r w:rsidRPr="00341756">
        <w:rPr>
          <w:rFonts w:asciiTheme="majorBidi" w:hAnsiTheme="majorBidi" w:cstheme="majorBidi"/>
          <w:color w:val="000000" w:themeColor="text1"/>
          <w:sz w:val="24"/>
          <w:szCs w:val="24"/>
        </w:rPr>
        <w:t xml:space="preserve">has two possible criteria and the relationship between the criteria and the predictors. We use </w:t>
      </w:r>
      <w:proofErr w:type="spellStart"/>
      <w:r w:rsidRPr="00341756">
        <w:rPr>
          <w:rFonts w:asciiTheme="majorBidi" w:hAnsiTheme="majorBidi" w:cstheme="majorBidi"/>
          <w:color w:val="000000" w:themeColor="text1"/>
          <w:sz w:val="24"/>
          <w:szCs w:val="24"/>
        </w:rPr>
        <w:t>Jarque-Bera</w:t>
      </w:r>
      <w:proofErr w:type="spellEnd"/>
      <w:r w:rsidRPr="00341756">
        <w:rPr>
          <w:rFonts w:asciiTheme="majorBidi" w:hAnsiTheme="majorBidi" w:cstheme="majorBidi"/>
          <w:color w:val="000000" w:themeColor="text1"/>
          <w:sz w:val="24"/>
          <w:szCs w:val="24"/>
        </w:rPr>
        <w:t xml:space="preserve"> test to exanimate the data normality. We apply Pearson correlation test to confirm no correlation </w:t>
      </w:r>
      <w:r w:rsidR="00FC4950">
        <w:rPr>
          <w:rFonts w:asciiTheme="majorBidi" w:hAnsiTheme="majorBidi" w:cstheme="majorBidi"/>
          <w:color w:val="000000" w:themeColor="text1"/>
          <w:sz w:val="24"/>
          <w:szCs w:val="24"/>
        </w:rPr>
        <w:t>among</w:t>
      </w:r>
      <w:r w:rsidR="00FC4950" w:rsidRPr="00341756">
        <w:rPr>
          <w:rFonts w:asciiTheme="majorBidi" w:hAnsiTheme="majorBidi" w:cstheme="majorBidi"/>
          <w:color w:val="000000" w:themeColor="text1"/>
          <w:sz w:val="24"/>
          <w:szCs w:val="24"/>
        </w:rPr>
        <w:t xml:space="preserve"> </w:t>
      </w:r>
      <w:r w:rsidRPr="00341756">
        <w:rPr>
          <w:rFonts w:asciiTheme="majorBidi" w:hAnsiTheme="majorBidi" w:cstheme="majorBidi"/>
          <w:color w:val="000000" w:themeColor="text1"/>
          <w:sz w:val="24"/>
          <w:szCs w:val="24"/>
        </w:rPr>
        <w:t>the independent variables. Otherwise, the logistic regression model results would not be reliable because the calculated beta coefficient would contain diagonal.</w:t>
      </w:r>
    </w:p>
    <w:p w14:paraId="32601C2B" w14:textId="7D57458B" w:rsidR="00F626B4" w:rsidRPr="00341756" w:rsidRDefault="00F626B4" w:rsidP="007D21BB">
      <w:pPr>
        <w:jc w:val="both"/>
        <w:rPr>
          <w:rFonts w:asciiTheme="majorBidi" w:hAnsiTheme="majorBidi" w:cstheme="majorBidi"/>
          <w:color w:val="000000" w:themeColor="text1"/>
          <w:sz w:val="24"/>
          <w:szCs w:val="24"/>
          <w:lang w:bidi="fa-IR"/>
        </w:rPr>
      </w:pPr>
      <w:r w:rsidRPr="00341756">
        <w:rPr>
          <w:rFonts w:asciiTheme="majorBidi" w:hAnsiTheme="majorBidi" w:cstheme="majorBidi"/>
          <w:color w:val="000000" w:themeColor="text1"/>
          <w:sz w:val="24"/>
          <w:szCs w:val="24"/>
          <w:lang w:bidi="fa-IR"/>
        </w:rPr>
        <w:t xml:space="preserve">The functional model formulated to test the first </w:t>
      </w:r>
      <w:r w:rsidR="00500C0A" w:rsidRPr="00341756">
        <w:rPr>
          <w:rFonts w:asciiTheme="majorBidi" w:hAnsiTheme="majorBidi" w:cstheme="majorBidi"/>
          <w:color w:val="000000" w:themeColor="text1"/>
          <w:sz w:val="24"/>
          <w:szCs w:val="24"/>
          <w:lang w:bidi="fa-IR"/>
        </w:rPr>
        <w:t>H1</w:t>
      </w:r>
      <w:r w:rsidRPr="00341756">
        <w:rPr>
          <w:rFonts w:asciiTheme="majorBidi" w:hAnsiTheme="majorBidi" w:cstheme="majorBidi"/>
          <w:color w:val="000000" w:themeColor="text1"/>
          <w:sz w:val="24"/>
          <w:szCs w:val="24"/>
          <w:lang w:bidi="fa-IR"/>
        </w:rPr>
        <w:t xml:space="preserve"> is expressed as:</w:t>
      </w:r>
    </w:p>
    <w:p w14:paraId="35847689" w14:textId="1355819D" w:rsidR="00311DDD" w:rsidRPr="003F302B" w:rsidRDefault="00311DDD" w:rsidP="00D16FCB">
      <w:pPr>
        <w:jc w:val="both"/>
        <w:rPr>
          <w:rFonts w:asciiTheme="majorBidi" w:hAnsiTheme="majorBidi" w:cstheme="majorBidi"/>
          <w:sz w:val="24"/>
          <w:szCs w:val="24"/>
          <w:highlight w:val="yellow"/>
        </w:rPr>
      </w:pPr>
      <m:oMathPara>
        <m:oMath>
          <m:r>
            <w:rPr>
              <w:rFonts w:ascii="Cambria Math" w:hAnsi="Cambria Math" w:cs="B Nazanin"/>
              <w:highlight w:val="yellow"/>
              <w:lang w:bidi="fa-IR"/>
            </w:rPr>
            <m:t>A</m:t>
          </m:r>
          <m:sSub>
            <m:sSubPr>
              <m:ctrlPr>
                <w:rPr>
                  <w:rFonts w:ascii="Cambria Math" w:hAnsi="Cambria Math" w:cs="B Nazanin"/>
                  <w:i/>
                  <w:highlight w:val="yellow"/>
                  <w:lang w:bidi="fa-IR"/>
                </w:rPr>
              </m:ctrlPr>
            </m:sSubPr>
            <m:e>
              <m:r>
                <w:rPr>
                  <w:rFonts w:ascii="Cambria Math" w:hAnsi="Cambria Math" w:cs="B Nazanin"/>
                  <w:highlight w:val="yellow"/>
                  <w:lang w:bidi="fa-IR"/>
                </w:rPr>
                <m:t>O</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α</m:t>
              </m:r>
            </m:e>
            <m:sub>
              <m:r>
                <w:rPr>
                  <w:rFonts w:ascii="Cambria Math" w:hAnsi="Cambria Math" w:cs="B Nazanin"/>
                  <w:highlight w:val="yellow"/>
                  <w:lang w:bidi="fa-IR"/>
                </w:rPr>
                <m:t>1</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1</m:t>
              </m:r>
            </m:sub>
          </m:sSub>
          <m:r>
            <w:rPr>
              <w:rFonts w:ascii="Cambria Math" w:hAnsi="Cambria Math" w:cs="B Nazanin"/>
              <w:highlight w:val="yellow"/>
              <w:lang w:bidi="fa-IR"/>
            </w:rPr>
            <m:t>CT</m:t>
          </m:r>
          <m:sSub>
            <m:sSubPr>
              <m:ctrlPr>
                <w:rPr>
                  <w:rFonts w:ascii="Cambria Math" w:hAnsi="Cambria Math" w:cs="B Nazanin"/>
                  <w:i/>
                  <w:highlight w:val="yellow"/>
                  <w:lang w:bidi="fa-IR"/>
                </w:rPr>
              </m:ctrlPr>
            </m:sSubPr>
            <m:e>
              <m:r>
                <w:rPr>
                  <w:rFonts w:ascii="Cambria Math" w:hAnsi="Cambria Math" w:cs="B Nazanin"/>
                  <w:highlight w:val="yellow"/>
                  <w:lang w:bidi="fa-IR"/>
                </w:rPr>
                <m:t>A</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2</m:t>
              </m:r>
            </m:sub>
          </m:sSub>
          <m:r>
            <w:rPr>
              <w:rFonts w:ascii="Cambria Math" w:hAnsi="Cambria Math" w:cs="B Nazanin"/>
              <w:highlight w:val="yellow"/>
              <w:lang w:bidi="fa-IR"/>
            </w:rPr>
            <m:t>IN</m:t>
          </m:r>
          <m:sSub>
            <m:sSubPr>
              <m:ctrlPr>
                <w:rPr>
                  <w:rFonts w:ascii="Cambria Math" w:hAnsi="Cambria Math" w:cs="B Nazanin"/>
                  <w:i/>
                  <w:highlight w:val="yellow"/>
                  <w:lang w:bidi="fa-IR"/>
                </w:rPr>
              </m:ctrlPr>
            </m:sSubPr>
            <m:e>
              <m:r>
                <w:rPr>
                  <w:rFonts w:ascii="Cambria Math" w:hAnsi="Cambria Math" w:cs="B Nazanin"/>
                  <w:highlight w:val="yellow"/>
                  <w:lang w:bidi="fa-IR"/>
                </w:rPr>
                <m:t>D</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3</m:t>
              </m:r>
            </m:sub>
          </m:sSub>
          <m:r>
            <w:rPr>
              <w:rFonts w:ascii="Cambria Math" w:hAnsi="Cambria Math"/>
              <w:highlight w:val="yellow"/>
            </w:rPr>
            <m:t>Dualit</m:t>
          </m:r>
          <m:sSub>
            <m:sSubPr>
              <m:ctrlPr>
                <w:rPr>
                  <w:rFonts w:ascii="Cambria Math" w:hAnsi="Cambria Math"/>
                  <w:i/>
                  <w:highlight w:val="yellow"/>
                </w:rPr>
              </m:ctrlPr>
            </m:sSubPr>
            <m:e>
              <m:r>
                <w:rPr>
                  <w:rFonts w:ascii="Cambria Math" w:hAnsi="Cambria Math"/>
                  <w:highlight w:val="yellow"/>
                </w:rPr>
                <m:t>y</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4</m:t>
              </m:r>
            </m:sub>
          </m:sSub>
          <m:r>
            <w:rPr>
              <w:rFonts w:ascii="Cambria Math" w:hAnsi="Cambria Math"/>
              <w:highlight w:val="yellow"/>
            </w:rPr>
            <m:t>Siz</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5</m:t>
              </m:r>
            </m:sub>
          </m:sSub>
          <m:r>
            <w:rPr>
              <w:rFonts w:ascii="Cambria Math" w:hAnsi="Cambria Math"/>
              <w:highlight w:val="yellow"/>
            </w:rPr>
            <m:t>RO</m:t>
          </m:r>
          <m:sSub>
            <m:sSubPr>
              <m:ctrlPr>
                <w:rPr>
                  <w:rFonts w:ascii="Cambria Math" w:hAnsi="Cambria Math"/>
                  <w:i/>
                  <w:highlight w:val="yellow"/>
                </w:rPr>
              </m:ctrlPr>
            </m:sSubPr>
            <m:e>
              <m:r>
                <w:rPr>
                  <w:rFonts w:ascii="Cambria Math" w:hAnsi="Cambria Math"/>
                  <w:highlight w:val="yellow"/>
                </w:rPr>
                <m:t>A</m:t>
              </m:r>
            </m:e>
            <m:sub>
              <m:r>
                <w:rPr>
                  <w:rFonts w:ascii="Cambria Math" w:hAnsi="Cambria Math"/>
                  <w:highlight w:val="yellow"/>
                </w:rPr>
                <m:t>it</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β</m:t>
              </m:r>
            </m:e>
            <m:sub>
              <m:r>
                <m:rPr>
                  <m:sty m:val="p"/>
                </m:rPr>
                <w:rPr>
                  <w:rFonts w:ascii="Cambria Math" w:hAnsi="Cambria Math"/>
                  <w:highlight w:val="yellow"/>
                </w:rPr>
                <m:t>6</m:t>
              </m:r>
            </m:sub>
          </m:sSub>
          <m:sSub>
            <m:sSubPr>
              <m:ctrlPr>
                <w:rPr>
                  <w:rFonts w:ascii="Cambria Math" w:hAnsi="Cambria Math"/>
                  <w:highlight w:val="yellow"/>
                </w:rPr>
              </m:ctrlPr>
            </m:sSubPr>
            <m:e>
              <m:r>
                <m:rPr>
                  <m:sty m:val="p"/>
                </m:rPr>
                <w:rPr>
                  <w:rFonts w:ascii="Cambria Math" w:hAnsi="Cambria Math"/>
                  <w:highlight w:val="yellow"/>
                </w:rPr>
                <m:t>LEV</m:t>
              </m:r>
            </m:e>
            <m:sub>
              <m:r>
                <m:rPr>
                  <m:sty m:val="p"/>
                </m:rPr>
                <w:rPr>
                  <w:rFonts w:ascii="Cambria Math" w:hAnsi="Cambria Math"/>
                  <w:highlight w:val="yellow"/>
                </w:rPr>
                <m:t>it</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β</m:t>
              </m:r>
            </m:e>
            <m:sub>
              <m:r>
                <m:rPr>
                  <m:sty m:val="p"/>
                </m:rPr>
                <w:rPr>
                  <w:rFonts w:ascii="Cambria Math" w:hAnsi="Cambria Math"/>
                  <w:highlight w:val="yellow"/>
                </w:rPr>
                <m:t>7</m:t>
              </m:r>
            </m:sub>
          </m:sSub>
          <m:sSub>
            <m:sSubPr>
              <m:ctrlPr>
                <w:rPr>
                  <w:rFonts w:ascii="Cambria Math" w:hAnsi="Cambria Math"/>
                  <w:highlight w:val="yellow"/>
                </w:rPr>
              </m:ctrlPr>
            </m:sSubPr>
            <m:e>
              <m:r>
                <m:rPr>
                  <m:sty m:val="p"/>
                </m:rPr>
                <w:rPr>
                  <w:rFonts w:ascii="Cambria Math" w:hAnsi="Cambria Math"/>
                  <w:highlight w:val="yellow"/>
                </w:rPr>
                <m:t>MTB</m:t>
              </m:r>
            </m:e>
            <m:sub>
              <m:r>
                <m:rPr>
                  <m:sty m:val="p"/>
                </m:rPr>
                <w:rPr>
                  <w:rFonts w:ascii="Cambria Math" w:hAnsi="Cambria Math"/>
                  <w:highlight w:val="yellow"/>
                </w:rPr>
                <m:t>it</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β</m:t>
              </m:r>
            </m:e>
            <m:sub>
              <m:r>
                <m:rPr>
                  <m:sty m:val="p"/>
                </m:rPr>
                <w:rPr>
                  <w:rFonts w:ascii="Cambria Math" w:hAnsi="Cambria Math"/>
                  <w:highlight w:val="yellow"/>
                </w:rPr>
                <m:t>8</m:t>
              </m:r>
            </m:sub>
          </m:sSub>
          <m:sSub>
            <m:sSubPr>
              <m:ctrlPr>
                <w:rPr>
                  <w:rFonts w:ascii="Cambria Math" w:hAnsi="Cambria Math"/>
                  <w:highlight w:val="yellow"/>
                </w:rPr>
              </m:ctrlPr>
            </m:sSubPr>
            <m:e>
              <m:r>
                <m:rPr>
                  <m:sty m:val="p"/>
                </m:rPr>
                <w:rPr>
                  <w:rFonts w:ascii="Cambria Math" w:hAnsi="Cambria Math"/>
                  <w:highlight w:val="yellow"/>
                </w:rPr>
                <m:t>FDISTER</m:t>
              </m:r>
            </m:e>
            <m:sub>
              <m:r>
                <m:rPr>
                  <m:sty m:val="p"/>
                </m:rPr>
                <w:rPr>
                  <w:rFonts w:ascii="Cambria Math" w:hAnsi="Cambria Math"/>
                  <w:highlight w:val="yellow"/>
                </w:rPr>
                <m:t>it</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β</m:t>
              </m:r>
            </m:e>
            <m:sub>
              <m:r>
                <m:rPr>
                  <m:sty m:val="p"/>
                </m:rPr>
                <w:rPr>
                  <w:rFonts w:ascii="Cambria Math" w:hAnsi="Cambria Math"/>
                  <w:highlight w:val="yellow"/>
                </w:rPr>
                <m:t>9</m:t>
              </m:r>
            </m:sub>
          </m:sSub>
          <m:sSub>
            <m:sSubPr>
              <m:ctrlPr>
                <w:rPr>
                  <w:rFonts w:ascii="Cambria Math" w:hAnsi="Cambria Math"/>
                  <w:highlight w:val="yellow"/>
                </w:rPr>
              </m:ctrlPr>
            </m:sSubPr>
            <m:e>
              <m:r>
                <m:rPr>
                  <m:sty m:val="p"/>
                </m:rPr>
                <w:rPr>
                  <w:rFonts w:ascii="Cambria Math" w:hAnsi="Cambria Math"/>
                  <w:highlight w:val="yellow"/>
                </w:rPr>
                <m:t>Intan</m:t>
              </m:r>
            </m:e>
            <m:sub>
              <m:r>
                <m:rPr>
                  <m:sty m:val="p"/>
                </m:rPr>
                <w:rPr>
                  <w:rFonts w:ascii="Cambria Math" w:hAnsi="Cambria Math"/>
                  <w:highlight w:val="yellow"/>
                </w:rPr>
                <m:t>it</m:t>
              </m:r>
            </m:sub>
          </m:sSub>
          <m:r>
            <m:rPr>
              <m:sty m:val="p"/>
            </m:rPr>
            <w:rPr>
              <w:rFonts w:ascii="Cambria Math" w:hAnsi="Cambria Math"/>
              <w:highlight w:val="yellow"/>
            </w:rPr>
            <m:t>+</m:t>
          </m:r>
          <m:sSub>
            <m:sSubPr>
              <m:ctrlPr>
                <w:rPr>
                  <w:rFonts w:ascii="Cambria Math" w:hAnsi="Cambria Math"/>
                  <w:highlight w:val="yellow"/>
                </w:rPr>
              </m:ctrlPr>
            </m:sSubPr>
            <m:e>
              <m:r>
                <m:rPr>
                  <m:sty m:val="p"/>
                </m:rPr>
                <w:rPr>
                  <w:rFonts w:ascii="Cambria Math" w:hAnsi="Cambria Math"/>
                  <w:highlight w:val="yellow"/>
                </w:rPr>
                <m:t>β</m:t>
              </m:r>
            </m:e>
            <m:sub>
              <m:r>
                <m:rPr>
                  <m:sty m:val="p"/>
                </m:rPr>
                <w:rPr>
                  <w:rFonts w:ascii="Cambria Math" w:hAnsi="Cambria Math"/>
                  <w:highlight w:val="yellow"/>
                </w:rPr>
                <m:t>10</m:t>
              </m:r>
            </m:sub>
          </m:sSub>
          <m:sSub>
            <m:sSubPr>
              <m:ctrlPr>
                <w:rPr>
                  <w:rFonts w:ascii="Cambria Math" w:hAnsi="Cambria Math"/>
                  <w:highlight w:val="yellow"/>
                </w:rPr>
              </m:ctrlPr>
            </m:sSubPr>
            <m:e>
              <m:r>
                <m:rPr>
                  <m:sty m:val="p"/>
                </m:rPr>
                <w:rPr>
                  <w:rFonts w:ascii="Cambria Math" w:hAnsi="Cambria Math"/>
                  <w:highlight w:val="yellow"/>
                </w:rPr>
                <m:t>BIG</m:t>
              </m:r>
            </m:e>
            <m:sub>
              <m:r>
                <m:rPr>
                  <m:sty m:val="p"/>
                </m:rPr>
                <w:rPr>
                  <w:rFonts w:ascii="Cambria Math" w:hAnsi="Cambria Math"/>
                  <w:highlight w:val="yellow"/>
                </w:rPr>
                <m:t>it</m:t>
              </m:r>
            </m:sub>
          </m:sSub>
          <m:r>
            <m:rPr>
              <m:sty m:val="p"/>
            </m:rPr>
            <w:rPr>
              <w:rFonts w:ascii="Cambria Math" w:hAnsi="Cambria Math"/>
              <w:highlight w:val="yellow"/>
            </w:rPr>
            <m:t xml:space="preserve">+ε </m:t>
          </m:r>
          <m:r>
            <w:rPr>
              <w:rFonts w:ascii="Cambria Math" w:hAnsi="Cambria Math"/>
              <w:highlight w:val="yellow"/>
            </w:rPr>
            <m:t xml:space="preserve">                             (3)</m:t>
          </m:r>
        </m:oMath>
      </m:oMathPara>
    </w:p>
    <w:p w14:paraId="362E19EC" w14:textId="333D9251" w:rsidR="00DE513C" w:rsidRPr="003F302B" w:rsidRDefault="00FD321C" w:rsidP="00246E1F">
      <w:pPr>
        <w:jc w:val="both"/>
        <w:rPr>
          <w:rFonts w:asciiTheme="majorBidi" w:hAnsiTheme="majorBidi" w:cstheme="majorBidi"/>
          <w:sz w:val="24"/>
          <w:szCs w:val="24"/>
          <w:highlight w:val="yellow"/>
          <w:rtl/>
          <w:lang w:bidi="fa-IR"/>
        </w:rPr>
      </w:pPr>
      <w:r w:rsidRPr="003F302B">
        <w:rPr>
          <w:rFonts w:asciiTheme="majorBidi" w:hAnsiTheme="majorBidi" w:cstheme="majorBidi"/>
          <w:sz w:val="24"/>
          <w:szCs w:val="24"/>
          <w:highlight w:val="yellow"/>
        </w:rPr>
        <w:t xml:space="preserve">The model in equation (3) has the </w:t>
      </w:r>
      <w:proofErr w:type="spellStart"/>
      <w:r w:rsidRPr="003F302B">
        <w:rPr>
          <w:rFonts w:asciiTheme="majorBidi" w:hAnsiTheme="majorBidi" w:cstheme="majorBidi"/>
          <w:sz w:val="24"/>
          <w:szCs w:val="24"/>
          <w:highlight w:val="yellow"/>
        </w:rPr>
        <w:t>dependant</w:t>
      </w:r>
      <w:proofErr w:type="spellEnd"/>
      <w:r w:rsidRPr="003F302B">
        <w:rPr>
          <w:rFonts w:asciiTheme="majorBidi" w:hAnsiTheme="majorBidi" w:cstheme="majorBidi"/>
          <w:sz w:val="24"/>
          <w:szCs w:val="24"/>
          <w:highlight w:val="yellow"/>
        </w:rPr>
        <w:t xml:space="preserve"> AO as the auditor’s opinion and </w:t>
      </w:r>
      <w:r w:rsidR="00D16FCB" w:rsidRPr="003F302B">
        <w:rPr>
          <w:rFonts w:asciiTheme="majorBidi" w:hAnsiTheme="majorBidi" w:cstheme="majorBidi"/>
          <w:sz w:val="24"/>
          <w:szCs w:val="24"/>
          <w:highlight w:val="yellow"/>
        </w:rPr>
        <w:t>ten</w:t>
      </w:r>
      <w:r w:rsidRPr="003F302B">
        <w:rPr>
          <w:rFonts w:asciiTheme="majorBidi" w:hAnsiTheme="majorBidi" w:cstheme="majorBidi"/>
          <w:sz w:val="24"/>
          <w:szCs w:val="24"/>
          <w:highlight w:val="yellow"/>
        </w:rPr>
        <w:t xml:space="preserve"> independent variables. Company’s tax avoidance (CTA). </w:t>
      </w:r>
      <w:r w:rsidR="00DE513C" w:rsidRPr="003F302B">
        <w:rPr>
          <w:rFonts w:asciiTheme="majorBidi" w:hAnsiTheme="majorBidi" w:cstheme="majorBidi"/>
          <w:sz w:val="24"/>
          <w:szCs w:val="24"/>
          <w:highlight w:val="yellow"/>
        </w:rPr>
        <w:t xml:space="preserve">IND reports board independence. Duality is for CEO duality. Size is the logarithm of the firm’s total assets. ROA is the return on assets. LEV is financial leverage. MTB is the ratio of market value to book value. FDISTER is the distress risk. </w:t>
      </w:r>
      <w:proofErr w:type="spellStart"/>
      <w:r w:rsidR="00DE513C" w:rsidRPr="003F302B">
        <w:rPr>
          <w:rFonts w:asciiTheme="majorBidi" w:hAnsiTheme="majorBidi" w:cstheme="majorBidi"/>
          <w:sz w:val="24"/>
          <w:szCs w:val="24"/>
          <w:highlight w:val="yellow"/>
        </w:rPr>
        <w:t>Intan</w:t>
      </w:r>
      <w:proofErr w:type="spellEnd"/>
      <w:r w:rsidR="00DE513C" w:rsidRPr="003F302B">
        <w:rPr>
          <w:rFonts w:asciiTheme="majorBidi" w:hAnsiTheme="majorBidi" w:cstheme="majorBidi"/>
          <w:sz w:val="24"/>
          <w:szCs w:val="24"/>
          <w:highlight w:val="yellow"/>
        </w:rPr>
        <w:t xml:space="preserve"> is the size of the firm’s intangible assets. BIG is a dummy variable for the auditor’s reputation.</w:t>
      </w:r>
      <w:r w:rsidR="00DE513C" w:rsidRPr="003F302B">
        <w:rPr>
          <w:highlight w:val="yellow"/>
        </w:rPr>
        <w:t xml:space="preserve"> </w:t>
      </w:r>
      <w:r w:rsidR="00DE513C" w:rsidRPr="003F302B">
        <w:rPr>
          <w:rFonts w:asciiTheme="majorBidi" w:hAnsiTheme="majorBidi" w:cstheme="majorBidi"/>
          <w:sz w:val="24"/>
          <w:szCs w:val="24"/>
          <w:highlight w:val="yellow"/>
        </w:rPr>
        <w:t xml:space="preserve">We test the positive </w:t>
      </w:r>
      <w:r w:rsidR="00DE513C" w:rsidRPr="003F302B">
        <w:rPr>
          <w:rFonts w:ascii="Cambria Math" w:hAnsi="Cambria Math" w:cs="Cambria Math"/>
          <w:sz w:val="24"/>
          <w:szCs w:val="24"/>
          <w:highlight w:val="yellow"/>
        </w:rPr>
        <w:t>𝛽</w:t>
      </w:r>
      <w:r w:rsidR="00DE513C" w:rsidRPr="003F302B">
        <w:rPr>
          <w:rFonts w:asciiTheme="majorBidi" w:hAnsiTheme="majorBidi" w:cstheme="majorBidi"/>
          <w:sz w:val="24"/>
          <w:szCs w:val="24"/>
          <w:highlight w:val="yellow"/>
        </w:rPr>
        <w:t xml:space="preserve">2; to find out if higher tax avoidance will affect the </w:t>
      </w:r>
      <w:r w:rsidR="00246E1F" w:rsidRPr="003F302B">
        <w:rPr>
          <w:rFonts w:asciiTheme="majorBidi" w:hAnsiTheme="majorBidi" w:cstheme="majorBidi"/>
          <w:sz w:val="24"/>
          <w:szCs w:val="24"/>
          <w:highlight w:val="yellow"/>
        </w:rPr>
        <w:t xml:space="preserve">modified </w:t>
      </w:r>
      <w:r w:rsidR="00DE513C" w:rsidRPr="003F302B">
        <w:rPr>
          <w:rFonts w:asciiTheme="majorBidi" w:hAnsiTheme="majorBidi" w:cstheme="majorBidi"/>
          <w:sz w:val="24"/>
          <w:szCs w:val="24"/>
          <w:highlight w:val="yellow"/>
        </w:rPr>
        <w:t>auditor's opinion</w:t>
      </w:r>
      <w:r w:rsidR="00DE513C" w:rsidRPr="003F302B">
        <w:rPr>
          <w:rFonts w:asciiTheme="majorBidi" w:hAnsiTheme="majorBidi" w:cstheme="majorBidi"/>
          <w:sz w:val="24"/>
          <w:szCs w:val="24"/>
          <w:highlight w:val="yellow"/>
          <w:lang w:bidi="fa-IR"/>
        </w:rPr>
        <w:t>.</w:t>
      </w:r>
    </w:p>
    <w:p w14:paraId="349B74E2" w14:textId="2470406A" w:rsidR="00311DDD" w:rsidRPr="003F302B" w:rsidRDefault="00FD321C" w:rsidP="007D21BB">
      <w:pPr>
        <w:jc w:val="both"/>
        <w:rPr>
          <w:rFonts w:asciiTheme="majorBidi" w:hAnsiTheme="majorBidi" w:cstheme="majorBidi"/>
          <w:sz w:val="24"/>
          <w:szCs w:val="24"/>
          <w:highlight w:val="yellow"/>
        </w:rPr>
      </w:pPr>
      <w:r w:rsidRPr="003F302B">
        <w:rPr>
          <w:rFonts w:asciiTheme="majorBidi" w:hAnsiTheme="majorBidi" w:cstheme="majorBidi"/>
          <w:sz w:val="24"/>
          <w:szCs w:val="24"/>
          <w:highlight w:val="yellow"/>
        </w:rPr>
        <w:lastRenderedPageBreak/>
        <w:t>We test H2</w:t>
      </w:r>
      <w:r w:rsidR="00CE27E9" w:rsidRPr="003F302B">
        <w:rPr>
          <w:rFonts w:asciiTheme="majorBidi" w:hAnsiTheme="majorBidi" w:cstheme="majorBidi"/>
          <w:sz w:val="24"/>
          <w:szCs w:val="24"/>
          <w:highlight w:val="yellow"/>
        </w:rPr>
        <w:t xml:space="preserve"> and H3</w:t>
      </w:r>
      <w:r w:rsidR="00311DDD" w:rsidRPr="003F302B">
        <w:rPr>
          <w:rFonts w:asciiTheme="majorBidi" w:hAnsiTheme="majorBidi" w:cstheme="majorBidi"/>
          <w:sz w:val="24"/>
          <w:szCs w:val="24"/>
          <w:highlight w:val="yellow"/>
        </w:rPr>
        <w:t xml:space="preserve"> </w:t>
      </w:r>
      <w:r w:rsidRPr="003F302B">
        <w:rPr>
          <w:rFonts w:asciiTheme="majorBidi" w:hAnsiTheme="majorBidi" w:cstheme="majorBidi"/>
          <w:sz w:val="24"/>
          <w:szCs w:val="24"/>
          <w:highlight w:val="yellow"/>
        </w:rPr>
        <w:t>by</w:t>
      </w:r>
      <w:r w:rsidR="003A6F3D" w:rsidRPr="003F302B">
        <w:rPr>
          <w:rFonts w:asciiTheme="majorBidi" w:hAnsiTheme="majorBidi" w:cstheme="majorBidi"/>
          <w:sz w:val="24"/>
          <w:szCs w:val="24"/>
          <w:highlight w:val="yellow"/>
        </w:rPr>
        <w:t xml:space="preserve"> estimating the following</w:t>
      </w:r>
      <w:r w:rsidRPr="003F302B">
        <w:rPr>
          <w:rFonts w:asciiTheme="majorBidi" w:hAnsiTheme="majorBidi" w:cstheme="majorBidi"/>
          <w:sz w:val="24"/>
          <w:szCs w:val="24"/>
          <w:highlight w:val="yellow"/>
        </w:rPr>
        <w:t xml:space="preserve"> equation</w:t>
      </w:r>
      <w:r w:rsidR="003A6F3D" w:rsidRPr="003F302B">
        <w:rPr>
          <w:rFonts w:asciiTheme="majorBidi" w:hAnsiTheme="majorBidi" w:cstheme="majorBidi"/>
          <w:sz w:val="24"/>
          <w:szCs w:val="24"/>
          <w:highlight w:val="yellow"/>
        </w:rPr>
        <w:t xml:space="preserve">: </w:t>
      </w:r>
    </w:p>
    <w:p w14:paraId="4ADFCFE0" w14:textId="704295C4" w:rsidR="00311DDD" w:rsidRPr="00341756" w:rsidRDefault="00B36037" w:rsidP="00CE27E9">
      <w:pPr>
        <w:jc w:val="both"/>
        <w:rPr>
          <w:rFonts w:asciiTheme="majorBidi" w:eastAsia="Cambria" w:hAnsiTheme="majorBidi" w:cstheme="majorBidi"/>
          <w:i/>
          <w:sz w:val="24"/>
          <w:szCs w:val="24"/>
        </w:rPr>
      </w:pPr>
      <m:oMathPara>
        <m:oMath>
          <m:r>
            <w:rPr>
              <w:rFonts w:ascii="Cambria Math" w:hAnsi="Cambria Math" w:cs="B Nazanin"/>
              <w:highlight w:val="yellow"/>
              <w:lang w:bidi="fa-IR"/>
            </w:rPr>
            <m:t>A</m:t>
          </m:r>
          <m:sSub>
            <m:sSubPr>
              <m:ctrlPr>
                <w:rPr>
                  <w:rFonts w:ascii="Cambria Math" w:hAnsi="Cambria Math" w:cs="B Nazanin"/>
                  <w:i/>
                  <w:highlight w:val="yellow"/>
                  <w:lang w:bidi="fa-IR"/>
                </w:rPr>
              </m:ctrlPr>
            </m:sSubPr>
            <m:e>
              <m:r>
                <w:rPr>
                  <w:rFonts w:ascii="Cambria Math" w:hAnsi="Cambria Math" w:cs="B Nazanin"/>
                  <w:highlight w:val="yellow"/>
                  <w:lang w:bidi="fa-IR"/>
                </w:rPr>
                <m:t>O</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α</m:t>
              </m:r>
            </m:e>
            <m:sub>
              <m:r>
                <w:rPr>
                  <w:rFonts w:ascii="Cambria Math" w:hAnsi="Cambria Math" w:cs="B Nazanin"/>
                  <w:highlight w:val="yellow"/>
                  <w:lang w:bidi="fa-IR"/>
                </w:rPr>
                <m:t>1</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1</m:t>
              </m:r>
            </m:sub>
          </m:sSub>
          <m:r>
            <w:rPr>
              <w:rFonts w:ascii="Cambria Math" w:hAnsi="Cambria Math" w:cs="B Nazanin"/>
              <w:highlight w:val="yellow"/>
              <w:lang w:bidi="fa-IR"/>
            </w:rPr>
            <m:t>CT</m:t>
          </m:r>
          <m:sSub>
            <m:sSubPr>
              <m:ctrlPr>
                <w:rPr>
                  <w:rFonts w:ascii="Cambria Math" w:hAnsi="Cambria Math" w:cs="B Nazanin"/>
                  <w:i/>
                  <w:highlight w:val="yellow"/>
                  <w:lang w:bidi="fa-IR"/>
                </w:rPr>
              </m:ctrlPr>
            </m:sSubPr>
            <m:e>
              <m:r>
                <w:rPr>
                  <w:rFonts w:ascii="Cambria Math" w:hAnsi="Cambria Math" w:cs="B Nazanin"/>
                  <w:highlight w:val="yellow"/>
                  <w:lang w:bidi="fa-IR"/>
                </w:rPr>
                <m:t>A</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2</m:t>
              </m:r>
            </m:sub>
          </m:sSub>
          <m:r>
            <w:rPr>
              <w:rFonts w:ascii="Cambria Math" w:hAnsi="Cambria Math" w:cs="B Nazanin"/>
              <w:highlight w:val="yellow"/>
              <w:lang w:bidi="fa-IR"/>
            </w:rPr>
            <m:t>M</m:t>
          </m:r>
          <m:sSub>
            <m:sSubPr>
              <m:ctrlPr>
                <w:rPr>
                  <w:rFonts w:ascii="Cambria Math" w:hAnsi="Cambria Math" w:cs="B Nazanin"/>
                  <w:i/>
                  <w:highlight w:val="yellow"/>
                  <w:lang w:bidi="fa-IR"/>
                </w:rPr>
              </m:ctrlPr>
            </m:sSubPr>
            <m:e>
              <m:r>
                <w:rPr>
                  <w:rFonts w:ascii="Cambria Math" w:hAnsi="Cambria Math" w:cs="B Nazanin"/>
                  <w:highlight w:val="yellow"/>
                  <w:lang w:bidi="fa-IR"/>
                </w:rPr>
                <m:t>U</m:t>
              </m:r>
            </m:e>
            <m:sub>
              <m:r>
                <w:rPr>
                  <w:rFonts w:ascii="Cambria Math" w:hAnsi="Cambria Math" w:cs="B Nazanin"/>
                  <w:highlight w:val="yellow"/>
                  <w:lang w:bidi="fa-IR"/>
                </w:rPr>
                <m:t>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3</m:t>
              </m:r>
            </m:sub>
          </m:sSub>
          <m:r>
            <w:rPr>
              <w:rFonts w:ascii="Cambria Math" w:hAnsi="Cambria Math" w:cs="B Nazanin"/>
              <w:highlight w:val="yellow"/>
              <w:lang w:bidi="fa-IR"/>
            </w:rPr>
            <m:t>GO</m:t>
          </m:r>
          <m:sSub>
            <m:sSubPr>
              <m:ctrlPr>
                <w:rPr>
                  <w:rFonts w:ascii="Cambria Math" w:hAnsi="Cambria Math" w:cs="B Nazanin"/>
                  <w:i/>
                  <w:highlight w:val="yellow"/>
                  <w:lang w:bidi="fa-IR"/>
                </w:rPr>
              </m:ctrlPr>
            </m:sSubPr>
            <m:e>
              <m:r>
                <w:rPr>
                  <w:rFonts w:ascii="Cambria Math" w:hAnsi="Cambria Math" w:cs="B Nazanin"/>
                  <w:highlight w:val="yellow"/>
                  <w:lang w:bidi="fa-IR"/>
                </w:rPr>
                <m:t>V</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4</m:t>
              </m:r>
            </m:sub>
          </m:sSub>
          <m:r>
            <w:rPr>
              <w:rFonts w:ascii="Cambria Math" w:hAnsi="Cambria Math" w:cs="B Nazanin"/>
              <w:highlight w:val="yellow"/>
              <w:lang w:bidi="fa-IR"/>
            </w:rPr>
            <m:t>MU*CT</m:t>
          </m:r>
          <m:sSub>
            <m:sSubPr>
              <m:ctrlPr>
                <w:rPr>
                  <w:rFonts w:ascii="Cambria Math" w:hAnsi="Cambria Math" w:cs="B Nazanin"/>
                  <w:i/>
                  <w:highlight w:val="yellow"/>
                  <w:lang w:bidi="fa-IR"/>
                </w:rPr>
              </m:ctrlPr>
            </m:sSubPr>
            <m:e>
              <m:r>
                <w:rPr>
                  <w:rFonts w:ascii="Cambria Math" w:hAnsi="Cambria Math" w:cs="B Nazanin"/>
                  <w:highlight w:val="yellow"/>
                  <w:lang w:bidi="fa-IR"/>
                </w:rPr>
                <m:t>A</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5</m:t>
              </m:r>
            </m:sub>
          </m:sSub>
          <m:r>
            <w:rPr>
              <w:rFonts w:ascii="Cambria Math" w:hAnsi="Cambria Math" w:cs="B Nazanin"/>
              <w:highlight w:val="yellow"/>
              <w:lang w:bidi="fa-IR"/>
            </w:rPr>
            <m:t>GOV*CT</m:t>
          </m:r>
          <m:sSub>
            <m:sSubPr>
              <m:ctrlPr>
                <w:rPr>
                  <w:rFonts w:ascii="Cambria Math" w:hAnsi="Cambria Math" w:cs="B Nazanin"/>
                  <w:i/>
                  <w:highlight w:val="yellow"/>
                  <w:lang w:bidi="fa-IR"/>
                </w:rPr>
              </m:ctrlPr>
            </m:sSubPr>
            <m:e>
              <m:r>
                <w:rPr>
                  <w:rFonts w:ascii="Cambria Math" w:hAnsi="Cambria Math" w:cs="B Nazanin"/>
                  <w:highlight w:val="yellow"/>
                  <w:lang w:bidi="fa-IR"/>
                </w:rPr>
                <m:t>A</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6</m:t>
              </m:r>
            </m:sub>
          </m:sSub>
          <m:r>
            <w:rPr>
              <w:rFonts w:ascii="Cambria Math" w:hAnsi="Cambria Math" w:cs="B Nazanin"/>
              <w:highlight w:val="yellow"/>
              <w:lang w:bidi="fa-IR"/>
            </w:rPr>
            <m:t>IN</m:t>
          </m:r>
          <m:sSub>
            <m:sSubPr>
              <m:ctrlPr>
                <w:rPr>
                  <w:rFonts w:ascii="Cambria Math" w:hAnsi="Cambria Math" w:cs="B Nazanin"/>
                  <w:i/>
                  <w:highlight w:val="yellow"/>
                  <w:lang w:bidi="fa-IR"/>
                </w:rPr>
              </m:ctrlPr>
            </m:sSubPr>
            <m:e>
              <m:r>
                <w:rPr>
                  <w:rFonts w:ascii="Cambria Math" w:hAnsi="Cambria Math" w:cs="B Nazanin"/>
                  <w:highlight w:val="yellow"/>
                  <w:lang w:bidi="fa-IR"/>
                </w:rPr>
                <m:t>D</m:t>
              </m:r>
            </m:e>
            <m:sub>
              <m:r>
                <w:rPr>
                  <w:rFonts w:ascii="Cambria Math" w:hAnsi="Cambria Math" w:cs="B Nazanin"/>
                  <w:highlight w:val="yellow"/>
                  <w:lang w:bidi="fa-IR"/>
                </w:rPr>
                <m:t>it</m:t>
              </m:r>
            </m:sub>
          </m:sSub>
          <m:r>
            <w:rPr>
              <w:rFonts w:ascii="Cambria Math" w:hAnsi="Cambria Math" w:cs="B Nazanin"/>
              <w:highlight w:val="yellow"/>
              <w:lang w:bidi="fa-IR"/>
            </w:rPr>
            <m:t>+</m:t>
          </m:r>
          <m:sSub>
            <m:sSubPr>
              <m:ctrlPr>
                <w:rPr>
                  <w:rFonts w:ascii="Cambria Math" w:hAnsi="Cambria Math" w:cs="B Nazanin"/>
                  <w:i/>
                  <w:highlight w:val="yellow"/>
                  <w:lang w:bidi="fa-IR"/>
                </w:rPr>
              </m:ctrlPr>
            </m:sSubPr>
            <m:e>
              <m:r>
                <w:rPr>
                  <w:rFonts w:ascii="Cambria Math" w:hAnsi="Cambria Math" w:cs="B Nazanin"/>
                  <w:highlight w:val="yellow"/>
                  <w:lang w:bidi="fa-IR"/>
                </w:rPr>
                <m:t>β</m:t>
              </m:r>
            </m:e>
            <m:sub>
              <m:r>
                <w:rPr>
                  <w:rFonts w:ascii="Cambria Math" w:hAnsi="Cambria Math" w:cs="B Nazanin"/>
                  <w:highlight w:val="yellow"/>
                  <w:lang w:bidi="fa-IR"/>
                </w:rPr>
                <m:t>7</m:t>
              </m:r>
            </m:sub>
          </m:sSub>
          <m:r>
            <w:rPr>
              <w:rFonts w:ascii="Cambria Math" w:hAnsi="Cambria Math"/>
              <w:highlight w:val="yellow"/>
            </w:rPr>
            <m:t>Dualit</m:t>
          </m:r>
          <m:sSub>
            <m:sSubPr>
              <m:ctrlPr>
                <w:rPr>
                  <w:rFonts w:ascii="Cambria Math" w:hAnsi="Cambria Math"/>
                  <w:i/>
                  <w:highlight w:val="yellow"/>
                </w:rPr>
              </m:ctrlPr>
            </m:sSubPr>
            <m:e>
              <m:r>
                <w:rPr>
                  <w:rFonts w:ascii="Cambria Math" w:hAnsi="Cambria Math"/>
                  <w:highlight w:val="yellow"/>
                </w:rPr>
                <m:t>y</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8</m:t>
              </m:r>
            </m:sub>
          </m:sSub>
          <m:r>
            <w:rPr>
              <w:rFonts w:ascii="Cambria Math" w:hAnsi="Cambria Math"/>
              <w:highlight w:val="yellow"/>
            </w:rPr>
            <m:t>Siz</m:t>
          </m:r>
          <m:sSub>
            <m:sSubPr>
              <m:ctrlPr>
                <w:rPr>
                  <w:rFonts w:ascii="Cambria Math" w:hAnsi="Cambria Math"/>
                  <w:i/>
                  <w:highlight w:val="yellow"/>
                </w:rPr>
              </m:ctrlPr>
            </m:sSubPr>
            <m:e>
              <m:r>
                <w:rPr>
                  <w:rFonts w:ascii="Cambria Math" w:hAnsi="Cambria Math"/>
                  <w:highlight w:val="yellow"/>
                </w:rPr>
                <m:t>e</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9</m:t>
              </m:r>
            </m:sub>
          </m:sSub>
          <m:r>
            <w:rPr>
              <w:rFonts w:ascii="Cambria Math" w:hAnsi="Cambria Math"/>
              <w:highlight w:val="yellow"/>
            </w:rPr>
            <m:t>RO</m:t>
          </m:r>
          <m:sSub>
            <m:sSubPr>
              <m:ctrlPr>
                <w:rPr>
                  <w:rFonts w:ascii="Cambria Math" w:hAnsi="Cambria Math"/>
                  <w:i/>
                  <w:highlight w:val="yellow"/>
                </w:rPr>
              </m:ctrlPr>
            </m:sSubPr>
            <m:e>
              <m:r>
                <w:rPr>
                  <w:rFonts w:ascii="Cambria Math" w:hAnsi="Cambria Math"/>
                  <w:highlight w:val="yellow"/>
                </w:rPr>
                <m:t>A</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10</m:t>
              </m:r>
            </m:sub>
          </m:sSub>
          <m:sSub>
            <m:sSubPr>
              <m:ctrlPr>
                <w:rPr>
                  <w:rFonts w:ascii="Cambria Math" w:hAnsi="Cambria Math"/>
                  <w:i/>
                  <w:highlight w:val="yellow"/>
                </w:rPr>
              </m:ctrlPr>
            </m:sSubPr>
            <m:e>
              <m:r>
                <w:rPr>
                  <w:rFonts w:ascii="Cambria Math" w:hAnsi="Cambria Math"/>
                  <w:highlight w:val="yellow"/>
                </w:rPr>
                <m:t>LEV</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11</m:t>
              </m:r>
            </m:sub>
          </m:sSub>
          <m:sSub>
            <m:sSubPr>
              <m:ctrlPr>
                <w:rPr>
                  <w:rFonts w:ascii="Cambria Math" w:hAnsi="Cambria Math"/>
                  <w:i/>
                  <w:highlight w:val="yellow"/>
                </w:rPr>
              </m:ctrlPr>
            </m:sSubPr>
            <m:e>
              <m:r>
                <w:rPr>
                  <w:rFonts w:ascii="Cambria Math" w:hAnsi="Cambria Math"/>
                  <w:highlight w:val="yellow"/>
                </w:rPr>
                <m:t>MTB</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12</m:t>
              </m:r>
            </m:sub>
          </m:sSub>
          <m:sSub>
            <m:sSubPr>
              <m:ctrlPr>
                <w:rPr>
                  <w:rFonts w:ascii="Cambria Math" w:hAnsi="Cambria Math"/>
                  <w:i/>
                  <w:highlight w:val="yellow"/>
                </w:rPr>
              </m:ctrlPr>
            </m:sSubPr>
            <m:e>
              <m:r>
                <w:rPr>
                  <w:rFonts w:ascii="Cambria Math" w:hAnsi="Cambria Math"/>
                  <w:highlight w:val="yellow"/>
                </w:rPr>
                <m:t>FDISTER</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13</m:t>
              </m:r>
            </m:sub>
          </m:sSub>
          <m:sSub>
            <m:sSubPr>
              <m:ctrlPr>
                <w:rPr>
                  <w:rFonts w:ascii="Cambria Math" w:hAnsi="Cambria Math"/>
                  <w:i/>
                  <w:highlight w:val="yellow"/>
                </w:rPr>
              </m:ctrlPr>
            </m:sSubPr>
            <m:e>
              <m:r>
                <w:rPr>
                  <w:rFonts w:ascii="Cambria Math" w:hAnsi="Cambria Math"/>
                  <w:highlight w:val="yellow"/>
                </w:rPr>
                <m:t>Intan</m:t>
              </m:r>
            </m:e>
            <m:sub>
              <m:r>
                <w:rPr>
                  <w:rFonts w:ascii="Cambria Math" w:hAnsi="Cambria Math"/>
                  <w:highlight w:val="yellow"/>
                </w:rPr>
                <m:t>it</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β</m:t>
              </m:r>
            </m:e>
            <m:sub>
              <m:r>
                <w:rPr>
                  <w:rFonts w:ascii="Cambria Math" w:hAnsi="Cambria Math"/>
                  <w:highlight w:val="yellow"/>
                </w:rPr>
                <m:t>14</m:t>
              </m:r>
            </m:sub>
          </m:sSub>
          <m:sSub>
            <m:sSubPr>
              <m:ctrlPr>
                <w:rPr>
                  <w:rFonts w:ascii="Cambria Math" w:hAnsi="Cambria Math"/>
                  <w:i/>
                  <w:highlight w:val="yellow"/>
                </w:rPr>
              </m:ctrlPr>
            </m:sSubPr>
            <m:e>
              <m:r>
                <w:rPr>
                  <w:rFonts w:ascii="Cambria Math" w:hAnsi="Cambria Math"/>
                  <w:highlight w:val="yellow"/>
                </w:rPr>
                <m:t>BIG</m:t>
              </m:r>
            </m:e>
            <m:sub>
              <m:r>
                <w:rPr>
                  <w:rFonts w:ascii="Cambria Math" w:hAnsi="Cambria Math"/>
                  <w:highlight w:val="yellow"/>
                </w:rPr>
                <m:t>it</m:t>
              </m:r>
            </m:sub>
          </m:sSub>
          <m:r>
            <w:rPr>
              <w:rFonts w:ascii="Cambria Math" w:hAnsi="Cambria Math"/>
              <w:highlight w:val="yellow"/>
            </w:rPr>
            <m:t>+ε                               (4)</m:t>
          </m:r>
        </m:oMath>
      </m:oMathPara>
    </w:p>
    <w:p w14:paraId="77DB4547" w14:textId="27678C23" w:rsidR="00FD321C" w:rsidRPr="00341756" w:rsidRDefault="00FD321C" w:rsidP="002D3A5E">
      <w:pPr>
        <w:tabs>
          <w:tab w:val="left" w:pos="5145"/>
        </w:tabs>
        <w:jc w:val="both"/>
        <w:rPr>
          <w:rFonts w:asciiTheme="majorBidi" w:hAnsiTheme="majorBidi" w:cstheme="majorBidi"/>
          <w:sz w:val="24"/>
          <w:szCs w:val="24"/>
        </w:rPr>
      </w:pPr>
      <w:r w:rsidRPr="00153AA8">
        <w:rPr>
          <w:rFonts w:asciiTheme="majorBidi" w:hAnsiTheme="majorBidi" w:cstheme="majorBidi"/>
          <w:sz w:val="24"/>
          <w:szCs w:val="24"/>
          <w:highlight w:val="yellow"/>
        </w:rPr>
        <w:t xml:space="preserve">The model in equation (4) has the </w:t>
      </w:r>
      <w:proofErr w:type="spellStart"/>
      <w:r w:rsidRPr="00153AA8">
        <w:rPr>
          <w:rFonts w:asciiTheme="majorBidi" w:hAnsiTheme="majorBidi" w:cstheme="majorBidi"/>
          <w:sz w:val="24"/>
          <w:szCs w:val="24"/>
          <w:highlight w:val="yellow"/>
        </w:rPr>
        <w:t>dependant</w:t>
      </w:r>
      <w:proofErr w:type="spellEnd"/>
      <w:r w:rsidRPr="00153AA8">
        <w:rPr>
          <w:rFonts w:asciiTheme="majorBidi" w:hAnsiTheme="majorBidi" w:cstheme="majorBidi"/>
          <w:sz w:val="24"/>
          <w:szCs w:val="24"/>
          <w:highlight w:val="yellow"/>
        </w:rPr>
        <w:t xml:space="preserve"> AO as the auditor’s opinion and </w:t>
      </w:r>
      <w:r w:rsidR="00CE27E9" w:rsidRPr="00153AA8">
        <w:rPr>
          <w:rFonts w:asciiTheme="majorBidi" w:hAnsiTheme="majorBidi" w:cstheme="majorBidi"/>
          <w:sz w:val="24"/>
          <w:szCs w:val="24"/>
          <w:highlight w:val="yellow"/>
        </w:rPr>
        <w:t>fourteen</w:t>
      </w:r>
      <w:r w:rsidRPr="00153AA8">
        <w:rPr>
          <w:rFonts w:asciiTheme="majorBidi" w:hAnsiTheme="majorBidi" w:cstheme="majorBidi"/>
          <w:sz w:val="24"/>
          <w:szCs w:val="24"/>
          <w:highlight w:val="yellow"/>
        </w:rPr>
        <w:t xml:space="preserve"> independent variables</w:t>
      </w:r>
      <w:r w:rsidR="00561647" w:rsidRPr="00153AA8">
        <w:rPr>
          <w:rFonts w:asciiTheme="majorBidi" w:hAnsiTheme="majorBidi" w:cstheme="majorBidi"/>
          <w:sz w:val="24"/>
          <w:szCs w:val="24"/>
          <w:highlight w:val="yellow"/>
        </w:rPr>
        <w:t>. Ten variables are similar to equation (</w:t>
      </w:r>
      <w:r w:rsidR="00CE27E9" w:rsidRPr="00153AA8">
        <w:rPr>
          <w:rFonts w:asciiTheme="majorBidi" w:hAnsiTheme="majorBidi" w:cstheme="majorBidi"/>
          <w:sz w:val="24"/>
          <w:szCs w:val="24"/>
          <w:highlight w:val="yellow"/>
        </w:rPr>
        <w:t>3</w:t>
      </w:r>
      <w:r w:rsidR="00561647" w:rsidRPr="00153AA8">
        <w:rPr>
          <w:rFonts w:asciiTheme="majorBidi" w:hAnsiTheme="majorBidi" w:cstheme="majorBidi"/>
          <w:sz w:val="24"/>
          <w:szCs w:val="24"/>
          <w:highlight w:val="yellow"/>
        </w:rPr>
        <w:t>),</w:t>
      </w:r>
      <w:r w:rsidR="00CE27E9" w:rsidRPr="00153AA8">
        <w:rPr>
          <w:rFonts w:asciiTheme="majorBidi" w:hAnsiTheme="majorBidi" w:cstheme="majorBidi"/>
          <w:sz w:val="24"/>
          <w:szCs w:val="24"/>
          <w:highlight w:val="yellow"/>
        </w:rPr>
        <w:t xml:space="preserve"> Market uncertainty (MU). MU*CTA indicates the effect of the modifier of the market uncertainty on tax avoidance.</w:t>
      </w:r>
      <w:r w:rsidR="00561647" w:rsidRPr="00153AA8">
        <w:rPr>
          <w:rFonts w:asciiTheme="majorBidi" w:hAnsiTheme="majorBidi" w:cstheme="majorBidi"/>
          <w:sz w:val="24"/>
          <w:szCs w:val="24"/>
          <w:highlight w:val="yellow"/>
        </w:rPr>
        <w:t xml:space="preserve"> </w:t>
      </w:r>
      <w:r w:rsidRPr="00153AA8">
        <w:rPr>
          <w:rFonts w:asciiTheme="majorBidi" w:hAnsiTheme="majorBidi" w:cstheme="majorBidi"/>
          <w:sz w:val="24"/>
          <w:szCs w:val="24"/>
          <w:highlight w:val="yellow"/>
        </w:rPr>
        <w:t>GOV is government ownership. GOV*</w:t>
      </w:r>
      <w:proofErr w:type="gramStart"/>
      <w:r w:rsidRPr="00153AA8">
        <w:rPr>
          <w:rFonts w:asciiTheme="majorBidi" w:hAnsiTheme="majorBidi" w:cstheme="majorBidi"/>
          <w:sz w:val="24"/>
          <w:szCs w:val="24"/>
          <w:highlight w:val="yellow"/>
        </w:rPr>
        <w:t>CTA  indicates</w:t>
      </w:r>
      <w:proofErr w:type="gramEnd"/>
      <w:r w:rsidRPr="00153AA8">
        <w:rPr>
          <w:rFonts w:asciiTheme="majorBidi" w:hAnsiTheme="majorBidi" w:cstheme="majorBidi"/>
          <w:sz w:val="24"/>
          <w:szCs w:val="24"/>
          <w:highlight w:val="yellow"/>
        </w:rPr>
        <w:t xml:space="preserve"> the effect of the modifier of government ownership on tax avoidance. We test the positive </w:t>
      </w:r>
      <w:r w:rsidRPr="00153AA8">
        <w:rPr>
          <w:rFonts w:ascii="Cambria Math" w:hAnsi="Cambria Math" w:cs="Cambria Math"/>
          <w:sz w:val="24"/>
          <w:szCs w:val="24"/>
          <w:highlight w:val="yellow"/>
        </w:rPr>
        <w:t>𝛽</w:t>
      </w:r>
      <w:r w:rsidR="00CE27E9" w:rsidRPr="00153AA8">
        <w:rPr>
          <w:rFonts w:asciiTheme="majorBidi" w:hAnsiTheme="majorBidi" w:cstheme="majorBidi"/>
          <w:sz w:val="24"/>
          <w:szCs w:val="24"/>
          <w:highlight w:val="yellow"/>
        </w:rPr>
        <w:t xml:space="preserve">4 and </w:t>
      </w:r>
      <w:r w:rsidR="00CE27E9" w:rsidRPr="00153AA8">
        <w:rPr>
          <w:rFonts w:ascii="Cambria Math" w:hAnsi="Cambria Math" w:cs="Cambria Math"/>
          <w:sz w:val="24"/>
          <w:szCs w:val="24"/>
          <w:highlight w:val="yellow"/>
        </w:rPr>
        <w:t>𝛽</w:t>
      </w:r>
      <w:r w:rsidR="00CE27E9" w:rsidRPr="00153AA8">
        <w:rPr>
          <w:rFonts w:asciiTheme="majorBidi" w:hAnsiTheme="majorBidi" w:cstheme="majorBidi"/>
          <w:sz w:val="24"/>
          <w:szCs w:val="24"/>
          <w:highlight w:val="yellow"/>
        </w:rPr>
        <w:t>5</w:t>
      </w:r>
      <w:r w:rsidRPr="00153AA8">
        <w:rPr>
          <w:rFonts w:asciiTheme="majorBidi" w:hAnsiTheme="majorBidi" w:cstheme="majorBidi"/>
          <w:sz w:val="24"/>
          <w:szCs w:val="24"/>
          <w:highlight w:val="yellow"/>
        </w:rPr>
        <w:t xml:space="preserve">; to find out if </w:t>
      </w:r>
      <w:r w:rsidR="001F692D" w:rsidRPr="00153AA8">
        <w:rPr>
          <w:rFonts w:asciiTheme="majorBidi" w:hAnsiTheme="majorBidi" w:cstheme="majorBidi"/>
          <w:sz w:val="24"/>
          <w:szCs w:val="24"/>
          <w:highlight w:val="yellow"/>
        </w:rPr>
        <w:t xml:space="preserve">higher </w:t>
      </w:r>
      <w:r w:rsidR="00CE27E9" w:rsidRPr="00153AA8">
        <w:rPr>
          <w:rFonts w:asciiTheme="majorBidi" w:hAnsiTheme="majorBidi" w:cstheme="majorBidi"/>
          <w:sz w:val="24"/>
          <w:szCs w:val="24"/>
          <w:highlight w:val="yellow"/>
        </w:rPr>
        <w:t xml:space="preserve">market uncertainty and </w:t>
      </w:r>
      <w:r w:rsidRPr="00153AA8">
        <w:rPr>
          <w:rFonts w:asciiTheme="majorBidi" w:hAnsiTheme="majorBidi" w:cstheme="majorBidi"/>
          <w:sz w:val="24"/>
          <w:szCs w:val="24"/>
          <w:highlight w:val="yellow"/>
        </w:rPr>
        <w:t>more extensive government ownership will intensify the impact of tax avoidance on the auditor’s opinion.</w:t>
      </w:r>
    </w:p>
    <w:p w14:paraId="31055EAA" w14:textId="0EC0070D" w:rsidR="00511E2A" w:rsidRPr="00341756" w:rsidRDefault="00511E2A" w:rsidP="007D21BB">
      <w:pPr>
        <w:tabs>
          <w:tab w:val="left" w:pos="5145"/>
        </w:tabs>
        <w:jc w:val="both"/>
        <w:rPr>
          <w:rFonts w:asciiTheme="majorBidi" w:hAnsiTheme="majorBidi" w:cstheme="majorBidi"/>
          <w:b/>
          <w:bCs/>
          <w:sz w:val="24"/>
          <w:szCs w:val="24"/>
        </w:rPr>
      </w:pPr>
      <w:r w:rsidRPr="00341756">
        <w:rPr>
          <w:rFonts w:asciiTheme="majorBidi" w:hAnsiTheme="majorBidi" w:cstheme="majorBidi"/>
          <w:b/>
          <w:bCs/>
          <w:sz w:val="24"/>
          <w:szCs w:val="24"/>
        </w:rPr>
        <w:t xml:space="preserve">4. </w:t>
      </w:r>
      <w:r w:rsidR="0062126E" w:rsidRPr="00341756">
        <w:rPr>
          <w:rFonts w:asciiTheme="majorBidi" w:hAnsiTheme="majorBidi" w:cstheme="majorBidi"/>
          <w:b/>
          <w:bCs/>
          <w:sz w:val="24"/>
          <w:szCs w:val="24"/>
        </w:rPr>
        <w:t xml:space="preserve">Results </w:t>
      </w:r>
    </w:p>
    <w:p w14:paraId="360D630B" w14:textId="77777777" w:rsidR="00311DDD" w:rsidRPr="00341756" w:rsidRDefault="0062126E" w:rsidP="007D21BB">
      <w:pPr>
        <w:jc w:val="both"/>
        <w:rPr>
          <w:rFonts w:asciiTheme="majorBidi" w:hAnsiTheme="majorBidi" w:cstheme="majorBidi"/>
          <w:b/>
          <w:bCs/>
          <w:sz w:val="24"/>
          <w:szCs w:val="24"/>
        </w:rPr>
      </w:pPr>
      <w:r w:rsidRPr="00341756">
        <w:rPr>
          <w:rFonts w:asciiTheme="majorBidi" w:hAnsiTheme="majorBidi" w:cstheme="majorBidi"/>
          <w:b/>
          <w:bCs/>
          <w:sz w:val="24"/>
          <w:szCs w:val="24"/>
        </w:rPr>
        <w:t>4.1 Descriptive Statistics</w:t>
      </w:r>
    </w:p>
    <w:p w14:paraId="14E8EFA2" w14:textId="3C9457CB" w:rsidR="00574B4E" w:rsidRPr="00341756" w:rsidRDefault="00574B4E" w:rsidP="00A32CE5">
      <w:pPr>
        <w:jc w:val="both"/>
        <w:rPr>
          <w:rFonts w:asciiTheme="majorBidi" w:hAnsiTheme="majorBidi" w:cstheme="majorBidi"/>
          <w:color w:val="000000" w:themeColor="text1"/>
          <w:sz w:val="24"/>
          <w:szCs w:val="24"/>
        </w:rPr>
      </w:pPr>
      <w:r w:rsidRPr="00341756">
        <w:rPr>
          <w:rFonts w:asciiTheme="majorBidi" w:hAnsiTheme="majorBidi" w:cstheme="majorBidi"/>
          <w:color w:val="000000" w:themeColor="text1"/>
          <w:sz w:val="24"/>
          <w:szCs w:val="24"/>
        </w:rPr>
        <w:t>The descriptive statistics are presented in Table (1) 46.2% of our observations (372 firms-</w:t>
      </w:r>
      <w:proofErr w:type="gramStart"/>
      <w:r w:rsidRPr="00341756">
        <w:rPr>
          <w:rFonts w:asciiTheme="majorBidi" w:hAnsiTheme="majorBidi" w:cstheme="majorBidi"/>
          <w:color w:val="000000" w:themeColor="text1"/>
          <w:sz w:val="24"/>
          <w:szCs w:val="24"/>
        </w:rPr>
        <w:t>years)  had</w:t>
      </w:r>
      <w:proofErr w:type="gramEnd"/>
      <w:r w:rsidRPr="00341756">
        <w:rPr>
          <w:rFonts w:asciiTheme="majorBidi" w:hAnsiTheme="majorBidi" w:cstheme="majorBidi"/>
          <w:color w:val="000000" w:themeColor="text1"/>
          <w:sz w:val="24"/>
          <w:szCs w:val="24"/>
        </w:rPr>
        <w:t xml:space="preserve"> a modified audit opinion, while the rest of 53.8% observations were associated </w:t>
      </w:r>
      <w:r w:rsidR="00A95754">
        <w:rPr>
          <w:rFonts w:asciiTheme="majorBidi" w:hAnsiTheme="majorBidi" w:cstheme="majorBidi"/>
          <w:color w:val="000000" w:themeColor="text1"/>
          <w:sz w:val="24"/>
          <w:szCs w:val="24"/>
        </w:rPr>
        <w:t>to</w:t>
      </w:r>
      <w:r w:rsidR="00A95754" w:rsidRPr="00341756">
        <w:rPr>
          <w:rFonts w:asciiTheme="majorBidi" w:hAnsiTheme="majorBidi" w:cstheme="majorBidi"/>
          <w:color w:val="000000" w:themeColor="text1"/>
          <w:sz w:val="24"/>
          <w:szCs w:val="24"/>
        </w:rPr>
        <w:t xml:space="preserve"> </w:t>
      </w:r>
      <w:r w:rsidRPr="00341756">
        <w:rPr>
          <w:rFonts w:asciiTheme="majorBidi" w:hAnsiTheme="majorBidi" w:cstheme="majorBidi"/>
          <w:color w:val="000000" w:themeColor="text1"/>
          <w:sz w:val="24"/>
          <w:szCs w:val="24"/>
        </w:rPr>
        <w:t xml:space="preserve">unmodified opinion. </w:t>
      </w:r>
      <w:r w:rsidR="009371C0">
        <w:rPr>
          <w:rFonts w:asciiTheme="majorBidi" w:hAnsiTheme="majorBidi" w:cstheme="majorBidi"/>
          <w:color w:val="000000" w:themeColor="text1"/>
          <w:sz w:val="24"/>
          <w:szCs w:val="24"/>
        </w:rPr>
        <w:t>Among</w:t>
      </w:r>
      <w:r w:rsidRPr="00341756">
        <w:rPr>
          <w:rFonts w:asciiTheme="majorBidi" w:hAnsiTheme="majorBidi" w:cstheme="majorBidi"/>
          <w:color w:val="000000" w:themeColor="text1"/>
          <w:sz w:val="24"/>
          <w:szCs w:val="24"/>
        </w:rPr>
        <w:t xml:space="preserve"> the modified opinions observation, the average tax avoidance is 8%, and government ownership is 45.53%. </w:t>
      </w:r>
      <w:r w:rsidR="008E0CBF" w:rsidRPr="008E0CBF">
        <w:rPr>
          <w:rFonts w:asciiTheme="majorBidi" w:hAnsiTheme="majorBidi" w:cstheme="majorBidi"/>
          <w:color w:val="000000" w:themeColor="text1"/>
          <w:sz w:val="24"/>
          <w:szCs w:val="24"/>
        </w:rPr>
        <w:t xml:space="preserve">The average tax avoidance and government ownership are 18.63% and 13.08% for the observations with unmodified opinions, respectively. </w:t>
      </w:r>
      <w:r w:rsidRPr="00341756">
        <w:rPr>
          <w:rFonts w:asciiTheme="majorBidi" w:hAnsiTheme="majorBidi" w:cstheme="majorBidi"/>
          <w:color w:val="000000" w:themeColor="text1"/>
          <w:sz w:val="24"/>
          <w:szCs w:val="24"/>
        </w:rPr>
        <w:t xml:space="preserve"> The uncertainty average is 5.93% for the period of this study. The significance of the p-values of </w:t>
      </w:r>
      <w:proofErr w:type="spellStart"/>
      <w:r w:rsidRPr="00341756">
        <w:rPr>
          <w:rFonts w:asciiTheme="majorBidi" w:hAnsiTheme="majorBidi" w:cstheme="majorBidi"/>
          <w:color w:val="000000" w:themeColor="text1"/>
          <w:sz w:val="24"/>
          <w:szCs w:val="24"/>
        </w:rPr>
        <w:t>Jarque-Bera</w:t>
      </w:r>
      <w:proofErr w:type="spellEnd"/>
      <w:r w:rsidRPr="00341756">
        <w:rPr>
          <w:rFonts w:asciiTheme="majorBidi" w:hAnsiTheme="majorBidi" w:cstheme="majorBidi"/>
          <w:color w:val="000000" w:themeColor="text1"/>
          <w:sz w:val="24"/>
          <w:szCs w:val="24"/>
        </w:rPr>
        <w:t xml:space="preserve"> statistics infers normality except for MU, Duality, LEV, MTB, and BIG which are not normally distributed.</w:t>
      </w:r>
    </w:p>
    <w:p w14:paraId="7A6DFBF0" w14:textId="3D64580B" w:rsidR="008A3CBE" w:rsidRPr="00341756" w:rsidRDefault="008A3CBE" w:rsidP="008A3CBE">
      <w:pPr>
        <w:jc w:val="center"/>
        <w:rPr>
          <w:rFonts w:asciiTheme="majorBidi" w:hAnsiTheme="majorBidi" w:cstheme="majorBidi"/>
          <w:sz w:val="24"/>
          <w:szCs w:val="24"/>
        </w:rPr>
      </w:pPr>
      <w:r w:rsidRPr="00341756">
        <w:rPr>
          <w:rFonts w:asciiTheme="majorBidi" w:hAnsiTheme="majorBidi" w:cstheme="majorBidi"/>
          <w:sz w:val="24"/>
          <w:szCs w:val="24"/>
        </w:rPr>
        <w:t>Table 1</w:t>
      </w:r>
    </w:p>
    <w:p w14:paraId="3D7E4E00" w14:textId="2EE7D45E" w:rsidR="008A3CBE" w:rsidRDefault="008A3CBE" w:rsidP="008A3CBE">
      <w:pPr>
        <w:jc w:val="center"/>
        <w:rPr>
          <w:rFonts w:asciiTheme="majorBidi" w:hAnsiTheme="majorBidi" w:cstheme="majorBidi"/>
          <w:sz w:val="24"/>
          <w:szCs w:val="24"/>
        </w:rPr>
      </w:pPr>
      <w:r w:rsidRPr="00341756">
        <w:rPr>
          <w:rFonts w:asciiTheme="majorBidi" w:hAnsiTheme="majorBidi" w:cstheme="majorBidi"/>
          <w:sz w:val="24"/>
          <w:szCs w:val="24"/>
        </w:rPr>
        <w:t>Summary statistics</w:t>
      </w:r>
    </w:p>
    <w:tbl>
      <w:tblPr>
        <w:tblStyle w:val="PlainTable2"/>
        <w:tblW w:w="9193" w:type="dxa"/>
        <w:tblLook w:val="04A0" w:firstRow="1" w:lastRow="0" w:firstColumn="1" w:lastColumn="0" w:noHBand="0" w:noVBand="1"/>
      </w:tblPr>
      <w:tblGrid>
        <w:gridCol w:w="997"/>
        <w:gridCol w:w="821"/>
        <w:gridCol w:w="783"/>
        <w:gridCol w:w="846"/>
        <w:gridCol w:w="1056"/>
        <w:gridCol w:w="766"/>
        <w:gridCol w:w="783"/>
        <w:gridCol w:w="801"/>
        <w:gridCol w:w="821"/>
        <w:gridCol w:w="711"/>
        <w:gridCol w:w="801"/>
        <w:gridCol w:w="7"/>
      </w:tblGrid>
      <w:tr w:rsidR="00297F65" w:rsidRPr="00B36037" w14:paraId="0A705EB1" w14:textId="77777777" w:rsidTr="008C53F0">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602613E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p>
        </w:tc>
        <w:tc>
          <w:tcPr>
            <w:tcW w:w="2822" w:type="dxa"/>
            <w:gridSpan w:val="3"/>
            <w:vAlign w:val="center"/>
          </w:tcPr>
          <w:p w14:paraId="2FD5B040"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All firms</w:t>
            </w:r>
          </w:p>
        </w:tc>
        <w:tc>
          <w:tcPr>
            <w:tcW w:w="927" w:type="dxa"/>
            <w:vAlign w:val="center"/>
          </w:tcPr>
          <w:p w14:paraId="33D7575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2307" w:type="dxa"/>
            <w:gridSpan w:val="3"/>
            <w:vAlign w:val="center"/>
          </w:tcPr>
          <w:p w14:paraId="673ED1D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Firms modified AO</w:t>
            </w:r>
          </w:p>
        </w:tc>
        <w:tc>
          <w:tcPr>
            <w:tcW w:w="2263" w:type="dxa"/>
            <w:gridSpan w:val="4"/>
            <w:vAlign w:val="center"/>
          </w:tcPr>
          <w:p w14:paraId="7004FD2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Firms unmodified AO</w:t>
            </w:r>
          </w:p>
        </w:tc>
      </w:tr>
      <w:tr w:rsidR="00297F65" w:rsidRPr="00B36037" w14:paraId="08CD4692" w14:textId="77777777" w:rsidTr="008C53F0">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13ED75A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p>
        </w:tc>
        <w:tc>
          <w:tcPr>
            <w:tcW w:w="939" w:type="dxa"/>
            <w:vAlign w:val="center"/>
          </w:tcPr>
          <w:p w14:paraId="17C7813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Median</w:t>
            </w:r>
          </w:p>
        </w:tc>
        <w:tc>
          <w:tcPr>
            <w:tcW w:w="939" w:type="dxa"/>
            <w:vAlign w:val="center"/>
          </w:tcPr>
          <w:p w14:paraId="5BB4733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Mean</w:t>
            </w:r>
          </w:p>
        </w:tc>
        <w:tc>
          <w:tcPr>
            <w:tcW w:w="942" w:type="dxa"/>
            <w:vAlign w:val="center"/>
          </w:tcPr>
          <w:p w14:paraId="34B40DB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roofErr w:type="spellStart"/>
            <w:r w:rsidRPr="003D6674">
              <w:rPr>
                <w:rFonts w:asciiTheme="majorBidi" w:hAnsiTheme="majorBidi" w:cstheme="majorBidi"/>
                <w:sz w:val="18"/>
                <w:szCs w:val="18"/>
              </w:rPr>
              <w:t>Std.Dev</w:t>
            </w:r>
            <w:proofErr w:type="spellEnd"/>
          </w:p>
        </w:tc>
        <w:tc>
          <w:tcPr>
            <w:tcW w:w="927" w:type="dxa"/>
            <w:vAlign w:val="center"/>
          </w:tcPr>
          <w:p w14:paraId="7A7E38E8"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J-B</w:t>
            </w:r>
          </w:p>
        </w:tc>
        <w:tc>
          <w:tcPr>
            <w:tcW w:w="667" w:type="dxa"/>
            <w:vAlign w:val="center"/>
          </w:tcPr>
          <w:p w14:paraId="575A14E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Median</w:t>
            </w:r>
          </w:p>
        </w:tc>
        <w:tc>
          <w:tcPr>
            <w:tcW w:w="939" w:type="dxa"/>
            <w:vAlign w:val="center"/>
          </w:tcPr>
          <w:p w14:paraId="35E13FE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Mean</w:t>
            </w:r>
          </w:p>
        </w:tc>
        <w:tc>
          <w:tcPr>
            <w:tcW w:w="700" w:type="dxa"/>
            <w:vAlign w:val="center"/>
          </w:tcPr>
          <w:p w14:paraId="1D5E6F0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roofErr w:type="spellStart"/>
            <w:r w:rsidRPr="003D6674">
              <w:rPr>
                <w:rFonts w:asciiTheme="majorBidi" w:hAnsiTheme="majorBidi" w:cstheme="majorBidi"/>
                <w:sz w:val="18"/>
                <w:szCs w:val="18"/>
              </w:rPr>
              <w:t>Std.Dev</w:t>
            </w:r>
            <w:proofErr w:type="spellEnd"/>
          </w:p>
        </w:tc>
        <w:tc>
          <w:tcPr>
            <w:tcW w:w="939" w:type="dxa"/>
            <w:vAlign w:val="center"/>
          </w:tcPr>
          <w:p w14:paraId="4AD5D95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Median</w:t>
            </w:r>
          </w:p>
        </w:tc>
        <w:tc>
          <w:tcPr>
            <w:tcW w:w="618" w:type="dxa"/>
            <w:vAlign w:val="center"/>
          </w:tcPr>
          <w:p w14:paraId="08FF1C1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Mean</w:t>
            </w:r>
          </w:p>
        </w:tc>
        <w:tc>
          <w:tcPr>
            <w:tcW w:w="698" w:type="dxa"/>
            <w:vAlign w:val="center"/>
          </w:tcPr>
          <w:p w14:paraId="3DE4ACF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proofErr w:type="spellStart"/>
            <w:r w:rsidRPr="003D6674">
              <w:rPr>
                <w:rFonts w:asciiTheme="majorBidi" w:hAnsiTheme="majorBidi" w:cstheme="majorBidi"/>
                <w:sz w:val="18"/>
                <w:szCs w:val="18"/>
              </w:rPr>
              <w:t>Std.Dev</w:t>
            </w:r>
            <w:proofErr w:type="spellEnd"/>
          </w:p>
        </w:tc>
      </w:tr>
      <w:tr w:rsidR="00297F65" w:rsidRPr="00B36037" w14:paraId="081DB1D4" w14:textId="77777777" w:rsidTr="008C53F0">
        <w:trPr>
          <w:gridAfter w:val="1"/>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46190EA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AO</w:t>
            </w:r>
          </w:p>
        </w:tc>
        <w:tc>
          <w:tcPr>
            <w:tcW w:w="939" w:type="dxa"/>
            <w:vAlign w:val="center"/>
          </w:tcPr>
          <w:p w14:paraId="4A53FEA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w:t>
            </w:r>
          </w:p>
        </w:tc>
        <w:tc>
          <w:tcPr>
            <w:tcW w:w="939" w:type="dxa"/>
            <w:vAlign w:val="center"/>
          </w:tcPr>
          <w:p w14:paraId="135DFCC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0.4621</w:t>
            </w:r>
          </w:p>
        </w:tc>
        <w:tc>
          <w:tcPr>
            <w:tcW w:w="942" w:type="dxa"/>
            <w:vAlign w:val="center"/>
          </w:tcPr>
          <w:p w14:paraId="17B8290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0.4988</w:t>
            </w:r>
          </w:p>
        </w:tc>
        <w:tc>
          <w:tcPr>
            <w:tcW w:w="927" w:type="dxa"/>
            <w:vAlign w:val="center"/>
          </w:tcPr>
          <w:p w14:paraId="0F0AC23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3.88(0.14)</w:t>
            </w:r>
          </w:p>
        </w:tc>
        <w:tc>
          <w:tcPr>
            <w:tcW w:w="667" w:type="dxa"/>
            <w:vAlign w:val="center"/>
          </w:tcPr>
          <w:p w14:paraId="2ACA900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939" w:type="dxa"/>
            <w:vAlign w:val="center"/>
          </w:tcPr>
          <w:p w14:paraId="3805202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700" w:type="dxa"/>
            <w:vAlign w:val="center"/>
          </w:tcPr>
          <w:p w14:paraId="37AF8BC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939" w:type="dxa"/>
            <w:vAlign w:val="center"/>
          </w:tcPr>
          <w:p w14:paraId="649224B0"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8" w:type="dxa"/>
            <w:vAlign w:val="center"/>
          </w:tcPr>
          <w:p w14:paraId="5596542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98" w:type="dxa"/>
            <w:vAlign w:val="center"/>
          </w:tcPr>
          <w:p w14:paraId="0326F1F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297F65" w:rsidRPr="00B36037" w14:paraId="483D6080" w14:textId="77777777" w:rsidTr="008C53F0">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763BD9B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CTA</w:t>
            </w:r>
          </w:p>
        </w:tc>
        <w:tc>
          <w:tcPr>
            <w:tcW w:w="939" w:type="dxa"/>
            <w:vAlign w:val="center"/>
          </w:tcPr>
          <w:p w14:paraId="711C788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0.1082</w:t>
            </w:r>
          </w:p>
        </w:tc>
        <w:tc>
          <w:tcPr>
            <w:tcW w:w="939" w:type="dxa"/>
            <w:vAlign w:val="center"/>
          </w:tcPr>
          <w:p w14:paraId="6C486DA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0.1372</w:t>
            </w:r>
          </w:p>
        </w:tc>
        <w:tc>
          <w:tcPr>
            <w:tcW w:w="942" w:type="dxa"/>
            <w:vAlign w:val="center"/>
          </w:tcPr>
          <w:p w14:paraId="31A31900"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0.1394</w:t>
            </w:r>
          </w:p>
        </w:tc>
        <w:tc>
          <w:tcPr>
            <w:tcW w:w="927" w:type="dxa"/>
            <w:vAlign w:val="center"/>
          </w:tcPr>
          <w:p w14:paraId="5902E88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3.65(0.16)</w:t>
            </w:r>
          </w:p>
        </w:tc>
        <w:tc>
          <w:tcPr>
            <w:tcW w:w="667" w:type="dxa"/>
            <w:vAlign w:val="center"/>
          </w:tcPr>
          <w:p w14:paraId="5FA00AA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0.1026</w:t>
            </w:r>
          </w:p>
        </w:tc>
        <w:tc>
          <w:tcPr>
            <w:tcW w:w="939" w:type="dxa"/>
            <w:vAlign w:val="center"/>
          </w:tcPr>
          <w:p w14:paraId="19C50FD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0.0800</w:t>
            </w:r>
          </w:p>
        </w:tc>
        <w:tc>
          <w:tcPr>
            <w:tcW w:w="700" w:type="dxa"/>
            <w:vAlign w:val="center"/>
          </w:tcPr>
          <w:p w14:paraId="37FE8CC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0.0674</w:t>
            </w:r>
          </w:p>
        </w:tc>
        <w:tc>
          <w:tcPr>
            <w:tcW w:w="939" w:type="dxa"/>
            <w:vAlign w:val="center"/>
          </w:tcPr>
          <w:p w14:paraId="3B6B223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0.1863</w:t>
            </w:r>
          </w:p>
        </w:tc>
        <w:tc>
          <w:tcPr>
            <w:tcW w:w="618" w:type="dxa"/>
            <w:vAlign w:val="center"/>
          </w:tcPr>
          <w:p w14:paraId="180D01E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0.1248</w:t>
            </w:r>
          </w:p>
        </w:tc>
        <w:tc>
          <w:tcPr>
            <w:tcW w:w="698" w:type="dxa"/>
            <w:vAlign w:val="center"/>
          </w:tcPr>
          <w:p w14:paraId="460EFE4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0.0963</w:t>
            </w:r>
          </w:p>
        </w:tc>
      </w:tr>
      <w:tr w:rsidR="00297F65" w:rsidRPr="00B36037" w14:paraId="0670874B" w14:textId="77777777" w:rsidTr="008C53F0">
        <w:trPr>
          <w:gridAfter w:val="1"/>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75ABFA9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MU</w:t>
            </w:r>
          </w:p>
        </w:tc>
        <w:tc>
          <w:tcPr>
            <w:tcW w:w="939" w:type="dxa"/>
            <w:vAlign w:val="center"/>
          </w:tcPr>
          <w:p w14:paraId="61BA83B8"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0.0609</w:t>
            </w:r>
          </w:p>
        </w:tc>
        <w:tc>
          <w:tcPr>
            <w:tcW w:w="939" w:type="dxa"/>
            <w:vAlign w:val="center"/>
          </w:tcPr>
          <w:p w14:paraId="4B5C21A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0.0593</w:t>
            </w:r>
          </w:p>
        </w:tc>
        <w:tc>
          <w:tcPr>
            <w:tcW w:w="942" w:type="dxa"/>
            <w:vAlign w:val="center"/>
          </w:tcPr>
          <w:p w14:paraId="2883EE8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0.0116</w:t>
            </w:r>
          </w:p>
        </w:tc>
        <w:tc>
          <w:tcPr>
            <w:tcW w:w="927" w:type="dxa"/>
            <w:vAlign w:val="center"/>
          </w:tcPr>
          <w:p w14:paraId="6862188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10.87(0.00)</w:t>
            </w:r>
          </w:p>
        </w:tc>
        <w:tc>
          <w:tcPr>
            <w:tcW w:w="667" w:type="dxa"/>
            <w:vAlign w:val="center"/>
          </w:tcPr>
          <w:p w14:paraId="1654572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939" w:type="dxa"/>
            <w:vAlign w:val="center"/>
          </w:tcPr>
          <w:p w14:paraId="3C9F3D2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700" w:type="dxa"/>
            <w:vAlign w:val="center"/>
          </w:tcPr>
          <w:p w14:paraId="43FA6C98"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939" w:type="dxa"/>
            <w:vAlign w:val="center"/>
          </w:tcPr>
          <w:p w14:paraId="7924D21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18" w:type="dxa"/>
            <w:vAlign w:val="center"/>
          </w:tcPr>
          <w:p w14:paraId="149DAD0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c>
          <w:tcPr>
            <w:tcW w:w="698" w:type="dxa"/>
            <w:vAlign w:val="center"/>
          </w:tcPr>
          <w:p w14:paraId="0002CC9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p>
        </w:tc>
      </w:tr>
      <w:tr w:rsidR="00297F65" w:rsidRPr="00B36037" w14:paraId="3F74872B" w14:textId="77777777" w:rsidTr="008C53F0">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2602FD1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GOV</w:t>
            </w:r>
          </w:p>
        </w:tc>
        <w:tc>
          <w:tcPr>
            <w:tcW w:w="939" w:type="dxa"/>
            <w:vAlign w:val="center"/>
          </w:tcPr>
          <w:p w14:paraId="5BB3856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0.1823</w:t>
            </w:r>
          </w:p>
        </w:tc>
        <w:tc>
          <w:tcPr>
            <w:tcW w:w="939" w:type="dxa"/>
            <w:vAlign w:val="center"/>
          </w:tcPr>
          <w:p w14:paraId="1110EC4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0.2745</w:t>
            </w:r>
          </w:p>
        </w:tc>
        <w:tc>
          <w:tcPr>
            <w:tcW w:w="942" w:type="dxa"/>
            <w:vAlign w:val="center"/>
          </w:tcPr>
          <w:p w14:paraId="514513F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0.2679</w:t>
            </w:r>
          </w:p>
        </w:tc>
        <w:tc>
          <w:tcPr>
            <w:tcW w:w="927" w:type="dxa"/>
            <w:vAlign w:val="center"/>
          </w:tcPr>
          <w:p w14:paraId="621AEE9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1.29(0.46)</w:t>
            </w:r>
          </w:p>
        </w:tc>
        <w:tc>
          <w:tcPr>
            <w:tcW w:w="667" w:type="dxa"/>
            <w:vAlign w:val="center"/>
          </w:tcPr>
          <w:p w14:paraId="3E3F581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0.2856</w:t>
            </w:r>
          </w:p>
        </w:tc>
        <w:tc>
          <w:tcPr>
            <w:tcW w:w="939" w:type="dxa"/>
            <w:vAlign w:val="center"/>
          </w:tcPr>
          <w:p w14:paraId="1F2255C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0.4553</w:t>
            </w:r>
          </w:p>
        </w:tc>
        <w:tc>
          <w:tcPr>
            <w:tcW w:w="700" w:type="dxa"/>
            <w:vAlign w:val="center"/>
          </w:tcPr>
          <w:p w14:paraId="03415F5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0.2598</w:t>
            </w:r>
          </w:p>
        </w:tc>
        <w:tc>
          <w:tcPr>
            <w:tcW w:w="939" w:type="dxa"/>
            <w:vAlign w:val="center"/>
          </w:tcPr>
          <w:p w14:paraId="7DF3D20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0.0944</w:t>
            </w:r>
          </w:p>
        </w:tc>
        <w:tc>
          <w:tcPr>
            <w:tcW w:w="618" w:type="dxa"/>
            <w:vAlign w:val="center"/>
          </w:tcPr>
          <w:p w14:paraId="0DCDBB6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0.1616</w:t>
            </w:r>
          </w:p>
        </w:tc>
        <w:tc>
          <w:tcPr>
            <w:tcW w:w="698" w:type="dxa"/>
            <w:vAlign w:val="center"/>
          </w:tcPr>
          <w:p w14:paraId="289A387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0.1933</w:t>
            </w:r>
          </w:p>
        </w:tc>
      </w:tr>
      <w:tr w:rsidR="00297F65" w:rsidRPr="00B36037" w14:paraId="46B19518" w14:textId="77777777" w:rsidTr="008C53F0">
        <w:trPr>
          <w:gridAfter w:val="1"/>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74724BF8"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IND</w:t>
            </w:r>
          </w:p>
        </w:tc>
        <w:tc>
          <w:tcPr>
            <w:tcW w:w="939" w:type="dxa"/>
            <w:vAlign w:val="center"/>
          </w:tcPr>
          <w:p w14:paraId="5FD950A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0.4286</w:t>
            </w:r>
          </w:p>
        </w:tc>
        <w:tc>
          <w:tcPr>
            <w:tcW w:w="939" w:type="dxa"/>
            <w:vAlign w:val="center"/>
          </w:tcPr>
          <w:p w14:paraId="2EF7A4F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0.4753</w:t>
            </w:r>
          </w:p>
        </w:tc>
        <w:tc>
          <w:tcPr>
            <w:tcW w:w="942" w:type="dxa"/>
            <w:vAlign w:val="center"/>
          </w:tcPr>
          <w:p w14:paraId="6D80FF4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0.1601</w:t>
            </w:r>
          </w:p>
        </w:tc>
        <w:tc>
          <w:tcPr>
            <w:tcW w:w="927" w:type="dxa"/>
            <w:vAlign w:val="center"/>
          </w:tcPr>
          <w:p w14:paraId="08CD6B2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2.93(0.23)</w:t>
            </w:r>
          </w:p>
        </w:tc>
        <w:tc>
          <w:tcPr>
            <w:tcW w:w="667" w:type="dxa"/>
            <w:vAlign w:val="center"/>
          </w:tcPr>
          <w:p w14:paraId="4B94B1D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w:t>
            </w:r>
          </w:p>
        </w:tc>
        <w:tc>
          <w:tcPr>
            <w:tcW w:w="939" w:type="dxa"/>
            <w:vAlign w:val="center"/>
          </w:tcPr>
          <w:p w14:paraId="2276D2C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0.3967</w:t>
            </w:r>
          </w:p>
        </w:tc>
        <w:tc>
          <w:tcPr>
            <w:tcW w:w="700" w:type="dxa"/>
            <w:vAlign w:val="center"/>
          </w:tcPr>
          <w:p w14:paraId="43800D8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0.1384</w:t>
            </w:r>
          </w:p>
        </w:tc>
        <w:tc>
          <w:tcPr>
            <w:tcW w:w="939" w:type="dxa"/>
            <w:vAlign w:val="center"/>
          </w:tcPr>
          <w:p w14:paraId="2294D97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0.1308</w:t>
            </w:r>
          </w:p>
        </w:tc>
        <w:tc>
          <w:tcPr>
            <w:tcW w:w="618" w:type="dxa"/>
            <w:vAlign w:val="center"/>
          </w:tcPr>
          <w:p w14:paraId="4366FAF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0.5428</w:t>
            </w:r>
          </w:p>
        </w:tc>
        <w:tc>
          <w:tcPr>
            <w:tcW w:w="698" w:type="dxa"/>
            <w:vAlign w:val="center"/>
          </w:tcPr>
          <w:p w14:paraId="60B624E0"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0.1462</w:t>
            </w:r>
          </w:p>
        </w:tc>
      </w:tr>
      <w:tr w:rsidR="00297F65" w:rsidRPr="00B36037" w14:paraId="4ABC1F5E" w14:textId="77777777" w:rsidTr="008C53F0">
        <w:trPr>
          <w:gridAfter w:val="1"/>
          <w:cnfStyle w:val="000000100000" w:firstRow="0" w:lastRow="0" w:firstColumn="0" w:lastColumn="0" w:oddVBand="0" w:evenVBand="0" w:oddHBand="1" w:evenHBand="0" w:firstRowFirstColumn="0" w:firstRowLastColumn="0" w:lastRowFirstColumn="0" w:lastRowLastColumn="0"/>
          <w:wAfter w:w="12" w:type="dxa"/>
          <w:trHeight w:val="396"/>
        </w:trPr>
        <w:tc>
          <w:tcPr>
            <w:cnfStyle w:val="001000000000" w:firstRow="0" w:lastRow="0" w:firstColumn="1" w:lastColumn="0" w:oddVBand="0" w:evenVBand="0" w:oddHBand="0" w:evenHBand="0" w:firstRowFirstColumn="0" w:firstRowLastColumn="0" w:lastRowFirstColumn="0" w:lastRowLastColumn="0"/>
            <w:tcW w:w="873" w:type="dxa"/>
            <w:vAlign w:val="center"/>
          </w:tcPr>
          <w:p w14:paraId="25B18CE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Duality</w:t>
            </w:r>
          </w:p>
        </w:tc>
        <w:tc>
          <w:tcPr>
            <w:tcW w:w="939" w:type="dxa"/>
            <w:vAlign w:val="center"/>
          </w:tcPr>
          <w:p w14:paraId="2776D22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w:t>
            </w:r>
          </w:p>
        </w:tc>
        <w:tc>
          <w:tcPr>
            <w:tcW w:w="939" w:type="dxa"/>
            <w:vAlign w:val="center"/>
          </w:tcPr>
          <w:p w14:paraId="14682AE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0.3055</w:t>
            </w:r>
          </w:p>
        </w:tc>
        <w:tc>
          <w:tcPr>
            <w:tcW w:w="942" w:type="dxa"/>
            <w:vAlign w:val="center"/>
          </w:tcPr>
          <w:p w14:paraId="7B41F358"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0.4609</w:t>
            </w:r>
          </w:p>
        </w:tc>
        <w:tc>
          <w:tcPr>
            <w:tcW w:w="927" w:type="dxa"/>
            <w:vAlign w:val="center"/>
          </w:tcPr>
          <w:p w14:paraId="2C216F9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18.56(0.00)</w:t>
            </w:r>
          </w:p>
        </w:tc>
        <w:tc>
          <w:tcPr>
            <w:tcW w:w="667" w:type="dxa"/>
            <w:vAlign w:val="center"/>
          </w:tcPr>
          <w:p w14:paraId="19C351D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w:t>
            </w:r>
          </w:p>
        </w:tc>
        <w:tc>
          <w:tcPr>
            <w:tcW w:w="939" w:type="dxa"/>
            <w:vAlign w:val="center"/>
          </w:tcPr>
          <w:p w14:paraId="7528933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0.4784</w:t>
            </w:r>
          </w:p>
        </w:tc>
        <w:tc>
          <w:tcPr>
            <w:tcW w:w="700" w:type="dxa"/>
            <w:vAlign w:val="center"/>
          </w:tcPr>
          <w:p w14:paraId="30A41EC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0.5002</w:t>
            </w:r>
          </w:p>
        </w:tc>
        <w:tc>
          <w:tcPr>
            <w:tcW w:w="939" w:type="dxa"/>
            <w:vAlign w:val="center"/>
          </w:tcPr>
          <w:p w14:paraId="233CF5D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w:t>
            </w:r>
          </w:p>
        </w:tc>
        <w:tc>
          <w:tcPr>
            <w:tcW w:w="618" w:type="dxa"/>
            <w:vAlign w:val="center"/>
          </w:tcPr>
          <w:p w14:paraId="74AFC1C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0.1570</w:t>
            </w:r>
          </w:p>
        </w:tc>
        <w:tc>
          <w:tcPr>
            <w:tcW w:w="698" w:type="dxa"/>
            <w:vAlign w:val="center"/>
          </w:tcPr>
          <w:p w14:paraId="15AA8BA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0.3642</w:t>
            </w:r>
          </w:p>
        </w:tc>
      </w:tr>
      <w:tr w:rsidR="00297F65" w:rsidRPr="00B36037" w14:paraId="47E82518" w14:textId="77777777" w:rsidTr="008C53F0">
        <w:trPr>
          <w:gridAfter w:val="1"/>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2E0C3E9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Size</w:t>
            </w:r>
          </w:p>
        </w:tc>
        <w:tc>
          <w:tcPr>
            <w:tcW w:w="939" w:type="dxa"/>
            <w:vAlign w:val="center"/>
          </w:tcPr>
          <w:p w14:paraId="26CA718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6.1393</w:t>
            </w:r>
          </w:p>
        </w:tc>
        <w:tc>
          <w:tcPr>
            <w:tcW w:w="939" w:type="dxa"/>
            <w:vAlign w:val="center"/>
          </w:tcPr>
          <w:p w14:paraId="3F727B9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6.2887</w:t>
            </w:r>
          </w:p>
        </w:tc>
        <w:tc>
          <w:tcPr>
            <w:tcW w:w="942" w:type="dxa"/>
            <w:vAlign w:val="center"/>
          </w:tcPr>
          <w:p w14:paraId="25FB71F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0.7285</w:t>
            </w:r>
          </w:p>
        </w:tc>
        <w:tc>
          <w:tcPr>
            <w:tcW w:w="927" w:type="dxa"/>
            <w:vAlign w:val="center"/>
          </w:tcPr>
          <w:p w14:paraId="3A50207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1.70(0.42)</w:t>
            </w:r>
          </w:p>
        </w:tc>
        <w:tc>
          <w:tcPr>
            <w:tcW w:w="667" w:type="dxa"/>
            <w:vAlign w:val="center"/>
          </w:tcPr>
          <w:p w14:paraId="2EF977B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6.1341</w:t>
            </w:r>
          </w:p>
        </w:tc>
        <w:tc>
          <w:tcPr>
            <w:tcW w:w="939" w:type="dxa"/>
            <w:vAlign w:val="center"/>
          </w:tcPr>
          <w:p w14:paraId="3372EAE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6.2480</w:t>
            </w:r>
          </w:p>
        </w:tc>
        <w:tc>
          <w:tcPr>
            <w:tcW w:w="700" w:type="dxa"/>
            <w:vAlign w:val="center"/>
          </w:tcPr>
          <w:p w14:paraId="5AAA223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0.6608</w:t>
            </w:r>
          </w:p>
        </w:tc>
        <w:tc>
          <w:tcPr>
            <w:tcW w:w="939" w:type="dxa"/>
            <w:vAlign w:val="center"/>
          </w:tcPr>
          <w:p w14:paraId="4BF0703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6.1477</w:t>
            </w:r>
          </w:p>
        </w:tc>
        <w:tc>
          <w:tcPr>
            <w:tcW w:w="618" w:type="dxa"/>
            <w:vAlign w:val="center"/>
          </w:tcPr>
          <w:p w14:paraId="620D3FE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6.3235</w:t>
            </w:r>
          </w:p>
        </w:tc>
        <w:tc>
          <w:tcPr>
            <w:tcW w:w="698" w:type="dxa"/>
            <w:vAlign w:val="center"/>
          </w:tcPr>
          <w:p w14:paraId="31593F8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0.7810</w:t>
            </w:r>
          </w:p>
        </w:tc>
      </w:tr>
      <w:tr w:rsidR="00297F65" w:rsidRPr="00B36037" w14:paraId="0D96EF83" w14:textId="77777777" w:rsidTr="008C53F0">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2FE3E2E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ROA</w:t>
            </w:r>
          </w:p>
        </w:tc>
        <w:tc>
          <w:tcPr>
            <w:tcW w:w="939" w:type="dxa"/>
            <w:vAlign w:val="center"/>
          </w:tcPr>
          <w:p w14:paraId="5483D7C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0.0932</w:t>
            </w:r>
          </w:p>
        </w:tc>
        <w:tc>
          <w:tcPr>
            <w:tcW w:w="939" w:type="dxa"/>
            <w:vAlign w:val="center"/>
          </w:tcPr>
          <w:p w14:paraId="60FA122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0.1118</w:t>
            </w:r>
          </w:p>
        </w:tc>
        <w:tc>
          <w:tcPr>
            <w:tcW w:w="942" w:type="dxa"/>
            <w:vAlign w:val="center"/>
          </w:tcPr>
          <w:p w14:paraId="7496939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0.1379</w:t>
            </w:r>
          </w:p>
        </w:tc>
        <w:tc>
          <w:tcPr>
            <w:tcW w:w="927" w:type="dxa"/>
            <w:vAlign w:val="center"/>
          </w:tcPr>
          <w:p w14:paraId="4FA80D1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2.81(0.24)</w:t>
            </w:r>
          </w:p>
        </w:tc>
        <w:tc>
          <w:tcPr>
            <w:tcW w:w="667" w:type="dxa"/>
            <w:vAlign w:val="center"/>
          </w:tcPr>
          <w:p w14:paraId="7D0C4A6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0.1138</w:t>
            </w:r>
          </w:p>
        </w:tc>
        <w:tc>
          <w:tcPr>
            <w:tcW w:w="939" w:type="dxa"/>
            <w:vAlign w:val="center"/>
          </w:tcPr>
          <w:p w14:paraId="5B8E6F8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0.1349</w:t>
            </w:r>
          </w:p>
        </w:tc>
        <w:tc>
          <w:tcPr>
            <w:tcW w:w="700" w:type="dxa"/>
            <w:vAlign w:val="center"/>
          </w:tcPr>
          <w:p w14:paraId="025AB8C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0.1327</w:t>
            </w:r>
          </w:p>
        </w:tc>
        <w:tc>
          <w:tcPr>
            <w:tcW w:w="939" w:type="dxa"/>
            <w:vAlign w:val="center"/>
          </w:tcPr>
          <w:p w14:paraId="6D6ED55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0.0745</w:t>
            </w:r>
          </w:p>
        </w:tc>
        <w:tc>
          <w:tcPr>
            <w:tcW w:w="618" w:type="dxa"/>
            <w:vAlign w:val="center"/>
          </w:tcPr>
          <w:p w14:paraId="4FFAABB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0.0920</w:t>
            </w:r>
          </w:p>
        </w:tc>
        <w:tc>
          <w:tcPr>
            <w:tcW w:w="698" w:type="dxa"/>
            <w:vAlign w:val="center"/>
          </w:tcPr>
          <w:p w14:paraId="5E9B79A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0.1393</w:t>
            </w:r>
          </w:p>
        </w:tc>
      </w:tr>
      <w:tr w:rsidR="00297F65" w:rsidRPr="00B36037" w14:paraId="066654A6" w14:textId="77777777" w:rsidTr="008C53F0">
        <w:trPr>
          <w:gridAfter w:val="1"/>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726F210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lastRenderedPageBreak/>
              <w:t>LEV</w:t>
            </w:r>
          </w:p>
        </w:tc>
        <w:tc>
          <w:tcPr>
            <w:tcW w:w="939" w:type="dxa"/>
            <w:vAlign w:val="center"/>
          </w:tcPr>
          <w:p w14:paraId="2C52B20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0.6249</w:t>
            </w:r>
          </w:p>
        </w:tc>
        <w:tc>
          <w:tcPr>
            <w:tcW w:w="939" w:type="dxa"/>
            <w:vAlign w:val="center"/>
          </w:tcPr>
          <w:p w14:paraId="7B83AD7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0.6032</w:t>
            </w:r>
          </w:p>
        </w:tc>
        <w:tc>
          <w:tcPr>
            <w:tcW w:w="942" w:type="dxa"/>
            <w:vAlign w:val="center"/>
          </w:tcPr>
          <w:p w14:paraId="05A3D8E0"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0.1850</w:t>
            </w:r>
          </w:p>
        </w:tc>
        <w:tc>
          <w:tcPr>
            <w:tcW w:w="927" w:type="dxa"/>
            <w:vAlign w:val="center"/>
          </w:tcPr>
          <w:p w14:paraId="79C3C70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9.73(0.00)</w:t>
            </w:r>
          </w:p>
        </w:tc>
        <w:tc>
          <w:tcPr>
            <w:tcW w:w="667" w:type="dxa"/>
            <w:vAlign w:val="center"/>
          </w:tcPr>
          <w:p w14:paraId="66B7B74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0.6068</w:t>
            </w:r>
          </w:p>
        </w:tc>
        <w:tc>
          <w:tcPr>
            <w:tcW w:w="939" w:type="dxa"/>
            <w:vAlign w:val="center"/>
          </w:tcPr>
          <w:p w14:paraId="30FF075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0.6024</w:t>
            </w:r>
          </w:p>
        </w:tc>
        <w:tc>
          <w:tcPr>
            <w:tcW w:w="700" w:type="dxa"/>
            <w:vAlign w:val="center"/>
          </w:tcPr>
          <w:p w14:paraId="42C8972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0.1794</w:t>
            </w:r>
          </w:p>
        </w:tc>
        <w:tc>
          <w:tcPr>
            <w:tcW w:w="939" w:type="dxa"/>
            <w:vAlign w:val="center"/>
          </w:tcPr>
          <w:p w14:paraId="245C70A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0.6365</w:t>
            </w:r>
          </w:p>
        </w:tc>
        <w:tc>
          <w:tcPr>
            <w:tcW w:w="618" w:type="dxa"/>
            <w:vAlign w:val="center"/>
          </w:tcPr>
          <w:p w14:paraId="095A0E8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0.6039</w:t>
            </w:r>
          </w:p>
        </w:tc>
        <w:tc>
          <w:tcPr>
            <w:tcW w:w="698" w:type="dxa"/>
            <w:vAlign w:val="center"/>
          </w:tcPr>
          <w:p w14:paraId="5EEB5D4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0.1898</w:t>
            </w:r>
          </w:p>
        </w:tc>
      </w:tr>
      <w:tr w:rsidR="00297F65" w:rsidRPr="00B36037" w14:paraId="54FA155B" w14:textId="77777777" w:rsidTr="008C53F0">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1ECA0E58"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MTB</w:t>
            </w:r>
          </w:p>
        </w:tc>
        <w:tc>
          <w:tcPr>
            <w:tcW w:w="939" w:type="dxa"/>
            <w:vAlign w:val="center"/>
          </w:tcPr>
          <w:p w14:paraId="4894F59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1.3893</w:t>
            </w:r>
          </w:p>
        </w:tc>
        <w:tc>
          <w:tcPr>
            <w:tcW w:w="939" w:type="dxa"/>
            <w:vAlign w:val="center"/>
          </w:tcPr>
          <w:p w14:paraId="159FC2A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1.4190</w:t>
            </w:r>
          </w:p>
        </w:tc>
        <w:tc>
          <w:tcPr>
            <w:tcW w:w="942" w:type="dxa"/>
            <w:vAlign w:val="center"/>
          </w:tcPr>
          <w:p w14:paraId="2CFC78F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0.7414</w:t>
            </w:r>
          </w:p>
        </w:tc>
        <w:tc>
          <w:tcPr>
            <w:tcW w:w="927" w:type="dxa"/>
            <w:vAlign w:val="center"/>
          </w:tcPr>
          <w:p w14:paraId="6CB9307C"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17.88(0.00)</w:t>
            </w:r>
          </w:p>
        </w:tc>
        <w:tc>
          <w:tcPr>
            <w:tcW w:w="667" w:type="dxa"/>
            <w:vAlign w:val="center"/>
          </w:tcPr>
          <w:p w14:paraId="1785EAF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0.8399</w:t>
            </w:r>
          </w:p>
        </w:tc>
        <w:tc>
          <w:tcPr>
            <w:tcW w:w="939" w:type="dxa"/>
            <w:vAlign w:val="center"/>
          </w:tcPr>
          <w:p w14:paraId="0793475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1.0613</w:t>
            </w:r>
          </w:p>
        </w:tc>
        <w:tc>
          <w:tcPr>
            <w:tcW w:w="700" w:type="dxa"/>
            <w:vAlign w:val="center"/>
          </w:tcPr>
          <w:p w14:paraId="3823BC80"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0.7601</w:t>
            </w:r>
          </w:p>
        </w:tc>
        <w:tc>
          <w:tcPr>
            <w:tcW w:w="939" w:type="dxa"/>
            <w:vAlign w:val="center"/>
          </w:tcPr>
          <w:p w14:paraId="4E035EA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1.6258</w:t>
            </w:r>
          </w:p>
        </w:tc>
        <w:tc>
          <w:tcPr>
            <w:tcW w:w="618" w:type="dxa"/>
            <w:vAlign w:val="center"/>
          </w:tcPr>
          <w:p w14:paraId="72540D6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1.7264</w:t>
            </w:r>
          </w:p>
        </w:tc>
        <w:tc>
          <w:tcPr>
            <w:tcW w:w="698" w:type="dxa"/>
            <w:vAlign w:val="center"/>
          </w:tcPr>
          <w:p w14:paraId="1D94151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0.5674</w:t>
            </w:r>
          </w:p>
        </w:tc>
      </w:tr>
      <w:tr w:rsidR="00297F65" w:rsidRPr="00B36037" w14:paraId="24655BD4" w14:textId="77777777" w:rsidTr="008C53F0">
        <w:trPr>
          <w:gridAfter w:val="1"/>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1912238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FDISTER</w:t>
            </w:r>
          </w:p>
        </w:tc>
        <w:tc>
          <w:tcPr>
            <w:tcW w:w="939" w:type="dxa"/>
            <w:vAlign w:val="center"/>
          </w:tcPr>
          <w:p w14:paraId="67E9688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1.2937</w:t>
            </w:r>
          </w:p>
        </w:tc>
        <w:tc>
          <w:tcPr>
            <w:tcW w:w="939" w:type="dxa"/>
            <w:vAlign w:val="center"/>
          </w:tcPr>
          <w:p w14:paraId="005BDA4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1.4605</w:t>
            </w:r>
          </w:p>
        </w:tc>
        <w:tc>
          <w:tcPr>
            <w:tcW w:w="942" w:type="dxa"/>
            <w:vAlign w:val="center"/>
          </w:tcPr>
          <w:p w14:paraId="5ED1004C"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1.4889</w:t>
            </w:r>
          </w:p>
        </w:tc>
        <w:tc>
          <w:tcPr>
            <w:tcW w:w="927" w:type="dxa"/>
            <w:vAlign w:val="center"/>
          </w:tcPr>
          <w:p w14:paraId="13055A2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4.11(0.12)</w:t>
            </w:r>
          </w:p>
        </w:tc>
        <w:tc>
          <w:tcPr>
            <w:tcW w:w="667" w:type="dxa"/>
            <w:vAlign w:val="center"/>
          </w:tcPr>
          <w:p w14:paraId="4F60334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0.9570</w:t>
            </w:r>
          </w:p>
        </w:tc>
        <w:tc>
          <w:tcPr>
            <w:tcW w:w="939" w:type="dxa"/>
            <w:vAlign w:val="center"/>
          </w:tcPr>
          <w:p w14:paraId="389D067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1.0248</w:t>
            </w:r>
          </w:p>
        </w:tc>
        <w:tc>
          <w:tcPr>
            <w:tcW w:w="700" w:type="dxa"/>
            <w:vAlign w:val="center"/>
          </w:tcPr>
          <w:p w14:paraId="7B0DAF8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1.3980</w:t>
            </w:r>
          </w:p>
        </w:tc>
        <w:tc>
          <w:tcPr>
            <w:tcW w:w="939" w:type="dxa"/>
            <w:vAlign w:val="center"/>
          </w:tcPr>
          <w:p w14:paraId="57131BD7"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1.5231</w:t>
            </w:r>
          </w:p>
        </w:tc>
        <w:tc>
          <w:tcPr>
            <w:tcW w:w="618" w:type="dxa"/>
            <w:vAlign w:val="center"/>
          </w:tcPr>
          <w:p w14:paraId="131FECA3"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1.8349</w:t>
            </w:r>
          </w:p>
        </w:tc>
        <w:tc>
          <w:tcPr>
            <w:tcW w:w="698" w:type="dxa"/>
            <w:vAlign w:val="center"/>
          </w:tcPr>
          <w:p w14:paraId="4AC5E16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1.4641</w:t>
            </w:r>
          </w:p>
        </w:tc>
      </w:tr>
      <w:tr w:rsidR="00297F65" w:rsidRPr="00B36037" w14:paraId="75FCBEA1" w14:textId="77777777" w:rsidTr="008C53F0">
        <w:trPr>
          <w:gridAfter w:val="1"/>
          <w:cnfStyle w:val="000000100000" w:firstRow="0" w:lastRow="0" w:firstColumn="0" w:lastColumn="0" w:oddVBand="0" w:evenVBand="0" w:oddHBand="1" w:evenHBand="0" w:firstRowFirstColumn="0" w:firstRowLastColumn="0" w:lastRowFirstColumn="0" w:lastRowLastColumn="0"/>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5F808FF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proofErr w:type="spellStart"/>
            <w:r w:rsidRPr="003D6674">
              <w:rPr>
                <w:rFonts w:asciiTheme="majorBidi" w:hAnsiTheme="majorBidi" w:cstheme="majorBidi"/>
                <w:sz w:val="18"/>
                <w:szCs w:val="18"/>
              </w:rPr>
              <w:t>Intan</w:t>
            </w:r>
            <w:proofErr w:type="spellEnd"/>
          </w:p>
        </w:tc>
        <w:tc>
          <w:tcPr>
            <w:tcW w:w="939" w:type="dxa"/>
            <w:vAlign w:val="center"/>
          </w:tcPr>
          <w:p w14:paraId="621F8FD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0.1100</w:t>
            </w:r>
          </w:p>
        </w:tc>
        <w:tc>
          <w:tcPr>
            <w:tcW w:w="939" w:type="dxa"/>
            <w:vAlign w:val="center"/>
          </w:tcPr>
          <w:p w14:paraId="6FDDB272"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0.1865</w:t>
            </w:r>
          </w:p>
        </w:tc>
        <w:tc>
          <w:tcPr>
            <w:tcW w:w="942" w:type="dxa"/>
            <w:vAlign w:val="center"/>
          </w:tcPr>
          <w:p w14:paraId="2713B7F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0.1058</w:t>
            </w:r>
          </w:p>
        </w:tc>
        <w:tc>
          <w:tcPr>
            <w:tcW w:w="927" w:type="dxa"/>
            <w:vAlign w:val="center"/>
          </w:tcPr>
          <w:p w14:paraId="3A85AF5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3.74(0.15)</w:t>
            </w:r>
          </w:p>
        </w:tc>
        <w:tc>
          <w:tcPr>
            <w:tcW w:w="667" w:type="dxa"/>
            <w:vAlign w:val="center"/>
          </w:tcPr>
          <w:p w14:paraId="35A454F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0.3186</w:t>
            </w:r>
          </w:p>
        </w:tc>
        <w:tc>
          <w:tcPr>
            <w:tcW w:w="939" w:type="dxa"/>
            <w:vAlign w:val="center"/>
          </w:tcPr>
          <w:p w14:paraId="7C5BDEE4"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0.2810</w:t>
            </w:r>
          </w:p>
        </w:tc>
        <w:tc>
          <w:tcPr>
            <w:tcW w:w="700" w:type="dxa"/>
            <w:vAlign w:val="center"/>
          </w:tcPr>
          <w:p w14:paraId="6B82D14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0.0837</w:t>
            </w:r>
          </w:p>
        </w:tc>
        <w:tc>
          <w:tcPr>
            <w:tcW w:w="939" w:type="dxa"/>
            <w:vAlign w:val="center"/>
          </w:tcPr>
          <w:p w14:paraId="14A29158"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0.1054</w:t>
            </w:r>
          </w:p>
        </w:tc>
        <w:tc>
          <w:tcPr>
            <w:tcW w:w="618" w:type="dxa"/>
            <w:vAlign w:val="center"/>
          </w:tcPr>
          <w:p w14:paraId="3BAE91A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0.1053</w:t>
            </w:r>
          </w:p>
        </w:tc>
        <w:tc>
          <w:tcPr>
            <w:tcW w:w="698" w:type="dxa"/>
            <w:vAlign w:val="center"/>
          </w:tcPr>
          <w:p w14:paraId="3316350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0.0226</w:t>
            </w:r>
          </w:p>
        </w:tc>
      </w:tr>
      <w:tr w:rsidR="00297F65" w:rsidRPr="00B36037" w14:paraId="2F774A69" w14:textId="77777777" w:rsidTr="008C53F0">
        <w:trPr>
          <w:gridAfter w:val="1"/>
          <w:wAfter w:w="12" w:type="dxa"/>
          <w:trHeight w:val="375"/>
        </w:trPr>
        <w:tc>
          <w:tcPr>
            <w:cnfStyle w:val="001000000000" w:firstRow="0" w:lastRow="0" w:firstColumn="1" w:lastColumn="0" w:oddVBand="0" w:evenVBand="0" w:oddHBand="0" w:evenHBand="0" w:firstRowFirstColumn="0" w:firstRowLastColumn="0" w:lastRowFirstColumn="0" w:lastRowLastColumn="0"/>
            <w:tcW w:w="873" w:type="dxa"/>
            <w:vAlign w:val="center"/>
          </w:tcPr>
          <w:p w14:paraId="7C2A2111"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BIG</w:t>
            </w:r>
          </w:p>
        </w:tc>
        <w:tc>
          <w:tcPr>
            <w:tcW w:w="939" w:type="dxa"/>
            <w:vAlign w:val="center"/>
          </w:tcPr>
          <w:p w14:paraId="77438FA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w:t>
            </w:r>
          </w:p>
        </w:tc>
        <w:tc>
          <w:tcPr>
            <w:tcW w:w="939" w:type="dxa"/>
            <w:vAlign w:val="center"/>
          </w:tcPr>
          <w:p w14:paraId="75EB951E"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0.4298</w:t>
            </w:r>
          </w:p>
        </w:tc>
        <w:tc>
          <w:tcPr>
            <w:tcW w:w="942" w:type="dxa"/>
            <w:vAlign w:val="center"/>
          </w:tcPr>
          <w:p w14:paraId="69C4A5CB"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0.4953</w:t>
            </w:r>
          </w:p>
        </w:tc>
        <w:tc>
          <w:tcPr>
            <w:tcW w:w="927" w:type="dxa"/>
            <w:vAlign w:val="center"/>
          </w:tcPr>
          <w:p w14:paraId="38194D5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21.72(0.00)</w:t>
            </w:r>
          </w:p>
        </w:tc>
        <w:tc>
          <w:tcPr>
            <w:tcW w:w="667" w:type="dxa"/>
            <w:vAlign w:val="center"/>
          </w:tcPr>
          <w:p w14:paraId="3DB9C2D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1</w:t>
            </w:r>
          </w:p>
        </w:tc>
        <w:tc>
          <w:tcPr>
            <w:tcW w:w="939" w:type="dxa"/>
            <w:vAlign w:val="center"/>
          </w:tcPr>
          <w:p w14:paraId="1A74E56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0.5376</w:t>
            </w:r>
          </w:p>
        </w:tc>
        <w:tc>
          <w:tcPr>
            <w:tcW w:w="700" w:type="dxa"/>
            <w:vAlign w:val="center"/>
          </w:tcPr>
          <w:p w14:paraId="1191BA2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0.4992</w:t>
            </w:r>
          </w:p>
        </w:tc>
        <w:tc>
          <w:tcPr>
            <w:tcW w:w="939" w:type="dxa"/>
            <w:vAlign w:val="center"/>
          </w:tcPr>
          <w:p w14:paraId="1E9FF956"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w:t>
            </w:r>
          </w:p>
        </w:tc>
        <w:tc>
          <w:tcPr>
            <w:tcW w:w="618" w:type="dxa"/>
            <w:vAlign w:val="center"/>
          </w:tcPr>
          <w:p w14:paraId="7A2D196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0.3371</w:t>
            </w:r>
          </w:p>
        </w:tc>
        <w:tc>
          <w:tcPr>
            <w:tcW w:w="698" w:type="dxa"/>
            <w:vAlign w:val="center"/>
          </w:tcPr>
          <w:p w14:paraId="2F356BDA"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0.4732</w:t>
            </w:r>
          </w:p>
        </w:tc>
      </w:tr>
      <w:tr w:rsidR="00297F65" w:rsidRPr="00B36037" w14:paraId="0ADACB57" w14:textId="77777777" w:rsidTr="008C53F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873" w:type="dxa"/>
            <w:vAlign w:val="center"/>
          </w:tcPr>
          <w:p w14:paraId="0E6E6B2D"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18"/>
                <w:szCs w:val="18"/>
              </w:rPr>
            </w:pPr>
            <w:r w:rsidRPr="003D6674">
              <w:rPr>
                <w:rFonts w:asciiTheme="majorBidi" w:hAnsiTheme="majorBidi" w:cstheme="majorBidi"/>
                <w:sz w:val="18"/>
                <w:szCs w:val="18"/>
              </w:rPr>
              <w:t>Obs.</w:t>
            </w:r>
          </w:p>
        </w:tc>
        <w:tc>
          <w:tcPr>
            <w:tcW w:w="3750" w:type="dxa"/>
            <w:gridSpan w:val="4"/>
            <w:vAlign w:val="center"/>
          </w:tcPr>
          <w:p w14:paraId="3D124655"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805</w:t>
            </w:r>
          </w:p>
        </w:tc>
        <w:tc>
          <w:tcPr>
            <w:tcW w:w="2307" w:type="dxa"/>
            <w:gridSpan w:val="3"/>
            <w:vAlign w:val="center"/>
          </w:tcPr>
          <w:p w14:paraId="0121126F"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372</w:t>
            </w:r>
          </w:p>
        </w:tc>
        <w:tc>
          <w:tcPr>
            <w:tcW w:w="2263" w:type="dxa"/>
            <w:gridSpan w:val="4"/>
            <w:vAlign w:val="center"/>
          </w:tcPr>
          <w:p w14:paraId="6CCCE0D9" w14:textId="77777777" w:rsidR="00297F65" w:rsidRPr="003D6674" w:rsidRDefault="00297F65" w:rsidP="008C53F0">
            <w:pPr>
              <w:pBdr>
                <w:top w:val="none" w:sz="0" w:space="0" w:color="auto"/>
                <w:left w:val="none" w:sz="0" w:space="0" w:color="auto"/>
                <w:bottom w:val="none" w:sz="0" w:space="0" w:color="auto"/>
                <w:right w:val="none" w:sz="0" w:space="0" w:color="auto"/>
                <w:between w:val="none" w:sz="0" w:space="0" w:color="auto"/>
              </w:pBd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8"/>
                <w:szCs w:val="18"/>
              </w:rPr>
            </w:pPr>
            <w:r w:rsidRPr="003D6674">
              <w:rPr>
                <w:rFonts w:asciiTheme="majorBidi" w:hAnsiTheme="majorBidi" w:cstheme="majorBidi"/>
                <w:sz w:val="18"/>
                <w:szCs w:val="18"/>
              </w:rPr>
              <w:t>433</w:t>
            </w:r>
          </w:p>
        </w:tc>
      </w:tr>
    </w:tbl>
    <w:p w14:paraId="0ECAF63D" w14:textId="77777777" w:rsidR="00297F65" w:rsidRPr="00341756" w:rsidRDefault="00297F65" w:rsidP="008A3CBE">
      <w:pPr>
        <w:jc w:val="center"/>
        <w:rPr>
          <w:rFonts w:asciiTheme="majorBidi" w:hAnsiTheme="majorBidi" w:cstheme="majorBidi"/>
          <w:sz w:val="24"/>
          <w:szCs w:val="24"/>
        </w:rPr>
      </w:pPr>
    </w:p>
    <w:p w14:paraId="3015706E" w14:textId="4EA9AAD8" w:rsidR="00574B4E" w:rsidRPr="00341756" w:rsidRDefault="00574B4E" w:rsidP="008B1F7E">
      <w:pPr>
        <w:spacing w:before="240" w:after="240" w:line="240" w:lineRule="auto"/>
        <w:jc w:val="both"/>
        <w:rPr>
          <w:rFonts w:asciiTheme="majorBidi" w:hAnsiTheme="majorBidi" w:cstheme="majorBidi"/>
          <w:sz w:val="24"/>
          <w:szCs w:val="24"/>
        </w:rPr>
      </w:pPr>
      <w:r w:rsidRPr="00341756">
        <w:rPr>
          <w:rFonts w:asciiTheme="majorBidi" w:hAnsiTheme="majorBidi" w:cstheme="majorBidi"/>
          <w:sz w:val="24"/>
          <w:szCs w:val="24"/>
        </w:rPr>
        <w:t xml:space="preserve">Table 2 shows the correlation </w:t>
      </w:r>
      <w:r w:rsidR="00F02F59">
        <w:rPr>
          <w:rFonts w:asciiTheme="majorBidi" w:hAnsiTheme="majorBidi" w:cstheme="majorBidi"/>
          <w:sz w:val="24"/>
          <w:szCs w:val="24"/>
        </w:rPr>
        <w:t>among</w:t>
      </w:r>
      <w:r w:rsidR="00F02F59" w:rsidRPr="00341756">
        <w:rPr>
          <w:rFonts w:asciiTheme="majorBidi" w:hAnsiTheme="majorBidi" w:cstheme="majorBidi"/>
          <w:sz w:val="24"/>
          <w:szCs w:val="24"/>
        </w:rPr>
        <w:t xml:space="preserve"> </w:t>
      </w:r>
      <w:r w:rsidRPr="00341756">
        <w:rPr>
          <w:rFonts w:asciiTheme="majorBidi" w:hAnsiTheme="majorBidi" w:cstheme="majorBidi"/>
          <w:sz w:val="24"/>
          <w:szCs w:val="24"/>
        </w:rPr>
        <w:t xml:space="preserve">the variables under investigation. We find a positive correlation between tax avoidance and uncertainty (0.171) and between tax avoidance and government ownership (0.346).  Both correlation results are consistent </w:t>
      </w:r>
      <w:r w:rsidR="00E110DD">
        <w:rPr>
          <w:rFonts w:asciiTheme="majorBidi" w:hAnsiTheme="majorBidi" w:cstheme="majorBidi"/>
          <w:sz w:val="24"/>
          <w:szCs w:val="24"/>
        </w:rPr>
        <w:t>to</w:t>
      </w:r>
      <w:r w:rsidR="00E110DD" w:rsidRPr="00341756">
        <w:rPr>
          <w:rFonts w:asciiTheme="majorBidi" w:hAnsiTheme="majorBidi" w:cstheme="majorBidi"/>
          <w:sz w:val="24"/>
          <w:szCs w:val="24"/>
        </w:rPr>
        <w:t xml:space="preserve"> </w:t>
      </w:r>
      <w:r w:rsidRPr="00341756">
        <w:rPr>
          <w:rFonts w:asciiTheme="majorBidi" w:hAnsiTheme="majorBidi" w:cstheme="majorBidi"/>
          <w:sz w:val="24"/>
          <w:szCs w:val="24"/>
        </w:rPr>
        <w:t>the first and second hypotheses of our study which predict that both market uncertainty and government ownership intensify tax avoidance in Iran. There is a negative correlation between tax avoidance and firm’s internal features such as Size, ROA, LEV</w:t>
      </w:r>
      <w:r w:rsidR="00920F6B">
        <w:rPr>
          <w:rFonts w:asciiTheme="majorBidi" w:hAnsiTheme="majorBidi" w:cstheme="majorBidi"/>
          <w:sz w:val="24"/>
          <w:szCs w:val="24"/>
        </w:rPr>
        <w:t>,</w:t>
      </w:r>
      <w:r w:rsidRPr="00341756">
        <w:rPr>
          <w:rFonts w:asciiTheme="majorBidi" w:hAnsiTheme="majorBidi" w:cstheme="majorBidi"/>
          <w:sz w:val="24"/>
          <w:szCs w:val="24"/>
        </w:rPr>
        <w:t xml:space="preserve"> and </w:t>
      </w:r>
      <w:proofErr w:type="spellStart"/>
      <w:r w:rsidRPr="00341756">
        <w:rPr>
          <w:rFonts w:asciiTheme="majorBidi" w:hAnsiTheme="majorBidi" w:cstheme="majorBidi"/>
          <w:sz w:val="24"/>
          <w:szCs w:val="24"/>
        </w:rPr>
        <w:t>Intan</w:t>
      </w:r>
      <w:proofErr w:type="spellEnd"/>
      <w:r w:rsidRPr="00341756">
        <w:rPr>
          <w:rFonts w:asciiTheme="majorBidi" w:hAnsiTheme="majorBidi" w:cstheme="majorBidi"/>
          <w:sz w:val="24"/>
          <w:szCs w:val="24"/>
        </w:rPr>
        <w:t xml:space="preserve">, and </w:t>
      </w:r>
      <w:r w:rsidR="00C64E4A">
        <w:rPr>
          <w:rFonts w:asciiTheme="majorBidi" w:hAnsiTheme="majorBidi" w:cstheme="majorBidi"/>
          <w:sz w:val="24"/>
          <w:szCs w:val="24"/>
        </w:rPr>
        <w:t xml:space="preserve">a </w:t>
      </w:r>
      <w:r w:rsidRPr="00341756">
        <w:rPr>
          <w:rFonts w:asciiTheme="majorBidi" w:hAnsiTheme="majorBidi" w:cstheme="majorBidi"/>
          <w:sz w:val="24"/>
          <w:szCs w:val="24"/>
        </w:rPr>
        <w:t xml:space="preserve">weaker negative correlation with the firm’s corporate governance mechanisms (IND, Duality). A positive correlation is reported between tax avoidance and MTB and FDISTER. </w:t>
      </w:r>
    </w:p>
    <w:p w14:paraId="738C5892" w14:textId="4C204E27" w:rsidR="008A3CBE" w:rsidRPr="00341756" w:rsidRDefault="008A3CBE" w:rsidP="008A3CBE">
      <w:pPr>
        <w:jc w:val="center"/>
        <w:rPr>
          <w:rFonts w:asciiTheme="majorBidi" w:hAnsiTheme="majorBidi" w:cstheme="majorBidi"/>
          <w:sz w:val="24"/>
          <w:szCs w:val="24"/>
        </w:rPr>
      </w:pPr>
      <w:r w:rsidRPr="00341756">
        <w:rPr>
          <w:rFonts w:asciiTheme="majorBidi" w:hAnsiTheme="majorBidi" w:cstheme="majorBidi"/>
          <w:sz w:val="24"/>
          <w:szCs w:val="24"/>
        </w:rPr>
        <w:t>Table 2</w:t>
      </w:r>
    </w:p>
    <w:p w14:paraId="3D9D0BB9" w14:textId="7DBA6A48" w:rsidR="008A3CBE" w:rsidRPr="00341756" w:rsidRDefault="008A3CBE" w:rsidP="008A3CBE">
      <w:pPr>
        <w:jc w:val="center"/>
        <w:rPr>
          <w:rFonts w:asciiTheme="majorBidi" w:hAnsiTheme="majorBidi" w:cstheme="majorBidi"/>
          <w:sz w:val="24"/>
          <w:szCs w:val="24"/>
        </w:rPr>
      </w:pPr>
      <w:r w:rsidRPr="00341756">
        <w:rPr>
          <w:rFonts w:asciiTheme="majorBidi" w:hAnsiTheme="majorBidi" w:cstheme="majorBidi"/>
          <w:sz w:val="24"/>
          <w:szCs w:val="24"/>
        </w:rPr>
        <w:t>Pearson correlation matrix</w:t>
      </w:r>
    </w:p>
    <w:tbl>
      <w:tblPr>
        <w:tblStyle w:val="TableGrid"/>
        <w:tblW w:w="9384" w:type="dxa"/>
        <w:tblLook w:val="04A0" w:firstRow="1" w:lastRow="0" w:firstColumn="1" w:lastColumn="0" w:noHBand="0" w:noVBand="1"/>
      </w:tblPr>
      <w:tblGrid>
        <w:gridCol w:w="482"/>
        <w:gridCol w:w="1110"/>
        <w:gridCol w:w="663"/>
        <w:gridCol w:w="663"/>
        <w:gridCol w:w="663"/>
        <w:gridCol w:w="663"/>
        <w:gridCol w:w="663"/>
        <w:gridCol w:w="663"/>
        <w:gridCol w:w="663"/>
        <w:gridCol w:w="663"/>
        <w:gridCol w:w="663"/>
        <w:gridCol w:w="663"/>
        <w:gridCol w:w="587"/>
        <w:gridCol w:w="575"/>
      </w:tblGrid>
      <w:tr w:rsidR="00297F65" w:rsidRPr="008A3CBE" w14:paraId="12181BD5" w14:textId="77777777" w:rsidTr="008C53F0">
        <w:trPr>
          <w:trHeight w:val="269"/>
        </w:trPr>
        <w:tc>
          <w:tcPr>
            <w:tcW w:w="482" w:type="dxa"/>
            <w:tcBorders>
              <w:top w:val="single" w:sz="4" w:space="0" w:color="auto"/>
              <w:left w:val="nil"/>
              <w:bottom w:val="nil"/>
              <w:right w:val="nil"/>
            </w:tcBorders>
          </w:tcPr>
          <w:p w14:paraId="6ECD0FA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1110" w:type="dxa"/>
            <w:tcBorders>
              <w:top w:val="single" w:sz="4" w:space="0" w:color="auto"/>
              <w:left w:val="nil"/>
              <w:bottom w:val="nil"/>
              <w:right w:val="nil"/>
            </w:tcBorders>
          </w:tcPr>
          <w:p w14:paraId="4BDE8AE1"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single" w:sz="4" w:space="0" w:color="auto"/>
              <w:right w:val="nil"/>
            </w:tcBorders>
          </w:tcPr>
          <w:p w14:paraId="3382B47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tcBorders>
              <w:top w:val="single" w:sz="4" w:space="0" w:color="auto"/>
              <w:left w:val="nil"/>
              <w:bottom w:val="single" w:sz="4" w:space="0" w:color="auto"/>
              <w:right w:val="nil"/>
            </w:tcBorders>
          </w:tcPr>
          <w:p w14:paraId="385284E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2</w:t>
            </w:r>
          </w:p>
        </w:tc>
        <w:tc>
          <w:tcPr>
            <w:tcW w:w="663" w:type="dxa"/>
            <w:tcBorders>
              <w:top w:val="single" w:sz="4" w:space="0" w:color="auto"/>
              <w:left w:val="nil"/>
              <w:bottom w:val="single" w:sz="4" w:space="0" w:color="auto"/>
              <w:right w:val="nil"/>
            </w:tcBorders>
          </w:tcPr>
          <w:p w14:paraId="50C0C6C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3</w:t>
            </w:r>
          </w:p>
        </w:tc>
        <w:tc>
          <w:tcPr>
            <w:tcW w:w="663" w:type="dxa"/>
            <w:tcBorders>
              <w:top w:val="single" w:sz="4" w:space="0" w:color="auto"/>
              <w:left w:val="nil"/>
              <w:bottom w:val="single" w:sz="4" w:space="0" w:color="auto"/>
              <w:right w:val="nil"/>
            </w:tcBorders>
          </w:tcPr>
          <w:p w14:paraId="0E961FE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4</w:t>
            </w:r>
          </w:p>
        </w:tc>
        <w:tc>
          <w:tcPr>
            <w:tcW w:w="663" w:type="dxa"/>
            <w:tcBorders>
              <w:top w:val="single" w:sz="4" w:space="0" w:color="auto"/>
              <w:left w:val="nil"/>
              <w:bottom w:val="single" w:sz="4" w:space="0" w:color="auto"/>
              <w:right w:val="nil"/>
            </w:tcBorders>
          </w:tcPr>
          <w:p w14:paraId="30538EF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5</w:t>
            </w:r>
          </w:p>
        </w:tc>
        <w:tc>
          <w:tcPr>
            <w:tcW w:w="663" w:type="dxa"/>
            <w:tcBorders>
              <w:top w:val="single" w:sz="4" w:space="0" w:color="auto"/>
              <w:left w:val="nil"/>
              <w:bottom w:val="single" w:sz="4" w:space="0" w:color="auto"/>
              <w:right w:val="nil"/>
            </w:tcBorders>
          </w:tcPr>
          <w:p w14:paraId="10A007E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6</w:t>
            </w:r>
          </w:p>
        </w:tc>
        <w:tc>
          <w:tcPr>
            <w:tcW w:w="663" w:type="dxa"/>
            <w:tcBorders>
              <w:top w:val="single" w:sz="4" w:space="0" w:color="auto"/>
              <w:left w:val="nil"/>
              <w:bottom w:val="single" w:sz="4" w:space="0" w:color="auto"/>
              <w:right w:val="nil"/>
            </w:tcBorders>
          </w:tcPr>
          <w:p w14:paraId="665BD38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7</w:t>
            </w:r>
          </w:p>
        </w:tc>
        <w:tc>
          <w:tcPr>
            <w:tcW w:w="663" w:type="dxa"/>
            <w:tcBorders>
              <w:top w:val="single" w:sz="4" w:space="0" w:color="auto"/>
              <w:left w:val="nil"/>
              <w:bottom w:val="single" w:sz="4" w:space="0" w:color="auto"/>
              <w:right w:val="nil"/>
            </w:tcBorders>
          </w:tcPr>
          <w:p w14:paraId="6BCFAF9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8</w:t>
            </w:r>
          </w:p>
        </w:tc>
        <w:tc>
          <w:tcPr>
            <w:tcW w:w="663" w:type="dxa"/>
            <w:tcBorders>
              <w:top w:val="single" w:sz="4" w:space="0" w:color="auto"/>
              <w:left w:val="nil"/>
              <w:bottom w:val="single" w:sz="4" w:space="0" w:color="auto"/>
              <w:right w:val="nil"/>
            </w:tcBorders>
          </w:tcPr>
          <w:p w14:paraId="19915A1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9</w:t>
            </w:r>
          </w:p>
        </w:tc>
        <w:tc>
          <w:tcPr>
            <w:tcW w:w="663" w:type="dxa"/>
            <w:tcBorders>
              <w:top w:val="single" w:sz="4" w:space="0" w:color="auto"/>
              <w:left w:val="nil"/>
              <w:bottom w:val="single" w:sz="4" w:space="0" w:color="auto"/>
              <w:right w:val="nil"/>
            </w:tcBorders>
          </w:tcPr>
          <w:p w14:paraId="783979B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10</w:t>
            </w:r>
          </w:p>
        </w:tc>
        <w:tc>
          <w:tcPr>
            <w:tcW w:w="587" w:type="dxa"/>
            <w:tcBorders>
              <w:top w:val="single" w:sz="4" w:space="0" w:color="auto"/>
              <w:left w:val="nil"/>
              <w:bottom w:val="single" w:sz="4" w:space="0" w:color="auto"/>
              <w:right w:val="nil"/>
            </w:tcBorders>
          </w:tcPr>
          <w:p w14:paraId="4FFF7A7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11</w:t>
            </w:r>
          </w:p>
        </w:tc>
        <w:tc>
          <w:tcPr>
            <w:tcW w:w="575" w:type="dxa"/>
            <w:tcBorders>
              <w:top w:val="single" w:sz="4" w:space="0" w:color="auto"/>
              <w:left w:val="nil"/>
              <w:bottom w:val="single" w:sz="4" w:space="0" w:color="auto"/>
              <w:right w:val="nil"/>
            </w:tcBorders>
          </w:tcPr>
          <w:p w14:paraId="170ABD9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12</w:t>
            </w:r>
          </w:p>
        </w:tc>
      </w:tr>
      <w:tr w:rsidR="00297F65" w:rsidRPr="008A3CBE" w14:paraId="17643D30" w14:textId="77777777" w:rsidTr="008C53F0">
        <w:trPr>
          <w:trHeight w:val="269"/>
        </w:trPr>
        <w:tc>
          <w:tcPr>
            <w:tcW w:w="482" w:type="dxa"/>
            <w:tcBorders>
              <w:top w:val="nil"/>
              <w:left w:val="nil"/>
              <w:bottom w:val="nil"/>
              <w:right w:val="nil"/>
            </w:tcBorders>
          </w:tcPr>
          <w:p w14:paraId="41F062E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1110" w:type="dxa"/>
            <w:tcBorders>
              <w:top w:val="nil"/>
              <w:left w:val="nil"/>
              <w:bottom w:val="single" w:sz="4" w:space="0" w:color="auto"/>
              <w:right w:val="nil"/>
            </w:tcBorders>
          </w:tcPr>
          <w:p w14:paraId="3E0F8F1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All firms</w:t>
            </w:r>
          </w:p>
        </w:tc>
        <w:tc>
          <w:tcPr>
            <w:tcW w:w="663" w:type="dxa"/>
            <w:tcBorders>
              <w:top w:val="single" w:sz="4" w:space="0" w:color="auto"/>
              <w:left w:val="nil"/>
              <w:bottom w:val="nil"/>
              <w:right w:val="nil"/>
            </w:tcBorders>
          </w:tcPr>
          <w:p w14:paraId="75F218C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63ADBB46"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1AF647C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752C1426"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370DEFD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2CB7C71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215D234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0D1F52E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05BC484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tcBorders>
              <w:top w:val="single" w:sz="4" w:space="0" w:color="auto"/>
              <w:left w:val="nil"/>
              <w:bottom w:val="nil"/>
              <w:right w:val="nil"/>
            </w:tcBorders>
          </w:tcPr>
          <w:p w14:paraId="232D95E6"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tcBorders>
              <w:top w:val="single" w:sz="4" w:space="0" w:color="auto"/>
              <w:left w:val="nil"/>
              <w:bottom w:val="nil"/>
              <w:right w:val="nil"/>
            </w:tcBorders>
          </w:tcPr>
          <w:p w14:paraId="26DC64A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tcBorders>
              <w:top w:val="single" w:sz="4" w:space="0" w:color="auto"/>
              <w:left w:val="nil"/>
              <w:bottom w:val="nil"/>
              <w:right w:val="nil"/>
            </w:tcBorders>
          </w:tcPr>
          <w:p w14:paraId="700F560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4A2646CE" w14:textId="77777777" w:rsidTr="008C53F0">
        <w:trPr>
          <w:trHeight w:val="269"/>
        </w:trPr>
        <w:tc>
          <w:tcPr>
            <w:tcW w:w="482" w:type="dxa"/>
            <w:tcBorders>
              <w:top w:val="nil"/>
              <w:left w:val="nil"/>
              <w:bottom w:val="nil"/>
              <w:right w:val="nil"/>
            </w:tcBorders>
          </w:tcPr>
          <w:p w14:paraId="7B8C0A9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1110" w:type="dxa"/>
            <w:tcBorders>
              <w:top w:val="single" w:sz="4" w:space="0" w:color="auto"/>
              <w:left w:val="nil"/>
              <w:bottom w:val="nil"/>
              <w:right w:val="nil"/>
            </w:tcBorders>
          </w:tcPr>
          <w:p w14:paraId="4680215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CTA</w:t>
            </w:r>
          </w:p>
        </w:tc>
        <w:tc>
          <w:tcPr>
            <w:tcW w:w="663" w:type="dxa"/>
            <w:tcBorders>
              <w:top w:val="nil"/>
              <w:left w:val="nil"/>
              <w:bottom w:val="nil"/>
              <w:right w:val="nil"/>
            </w:tcBorders>
          </w:tcPr>
          <w:p w14:paraId="3C8D089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tcBorders>
              <w:top w:val="nil"/>
              <w:left w:val="nil"/>
              <w:bottom w:val="nil"/>
              <w:right w:val="nil"/>
            </w:tcBorders>
          </w:tcPr>
          <w:p w14:paraId="098E47F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326CA04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0C4DCF2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20112C0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4DD354C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3F68F5C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38AA44D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77209D2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val="restart"/>
            <w:tcBorders>
              <w:top w:val="nil"/>
              <w:left w:val="nil"/>
              <w:bottom w:val="nil"/>
              <w:right w:val="nil"/>
            </w:tcBorders>
          </w:tcPr>
          <w:p w14:paraId="3939332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val="restart"/>
            <w:tcBorders>
              <w:top w:val="nil"/>
              <w:left w:val="nil"/>
              <w:bottom w:val="nil"/>
              <w:right w:val="nil"/>
            </w:tcBorders>
          </w:tcPr>
          <w:p w14:paraId="626C980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val="restart"/>
            <w:tcBorders>
              <w:top w:val="nil"/>
              <w:left w:val="nil"/>
              <w:bottom w:val="nil"/>
              <w:right w:val="nil"/>
            </w:tcBorders>
          </w:tcPr>
          <w:p w14:paraId="7B10AF6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6D5FC6AC" w14:textId="77777777" w:rsidTr="008C53F0">
        <w:trPr>
          <w:trHeight w:val="269"/>
        </w:trPr>
        <w:tc>
          <w:tcPr>
            <w:tcW w:w="482" w:type="dxa"/>
            <w:tcBorders>
              <w:top w:val="nil"/>
              <w:left w:val="nil"/>
              <w:bottom w:val="nil"/>
              <w:right w:val="nil"/>
            </w:tcBorders>
          </w:tcPr>
          <w:p w14:paraId="397729D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2</w:t>
            </w:r>
          </w:p>
        </w:tc>
        <w:tc>
          <w:tcPr>
            <w:tcW w:w="1110" w:type="dxa"/>
            <w:tcBorders>
              <w:top w:val="nil"/>
              <w:left w:val="nil"/>
              <w:bottom w:val="nil"/>
              <w:right w:val="nil"/>
            </w:tcBorders>
          </w:tcPr>
          <w:p w14:paraId="2B8C471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MU</w:t>
            </w:r>
          </w:p>
        </w:tc>
        <w:tc>
          <w:tcPr>
            <w:tcW w:w="663" w:type="dxa"/>
            <w:tcBorders>
              <w:top w:val="nil"/>
              <w:left w:val="nil"/>
              <w:bottom w:val="nil"/>
              <w:right w:val="nil"/>
            </w:tcBorders>
          </w:tcPr>
          <w:p w14:paraId="3F90031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0.17</w:t>
            </w:r>
          </w:p>
        </w:tc>
        <w:tc>
          <w:tcPr>
            <w:tcW w:w="663" w:type="dxa"/>
            <w:tcBorders>
              <w:top w:val="nil"/>
              <w:left w:val="nil"/>
              <w:bottom w:val="nil"/>
              <w:right w:val="nil"/>
            </w:tcBorders>
          </w:tcPr>
          <w:p w14:paraId="12D44D8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75ADD26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286EC93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3D2AE5A1"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31B81B5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7EFEC2B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0E817B1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185CF90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41CB48A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2EB016B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3463A28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5B378278" w14:textId="77777777" w:rsidTr="008C53F0">
        <w:trPr>
          <w:trHeight w:val="259"/>
        </w:trPr>
        <w:tc>
          <w:tcPr>
            <w:tcW w:w="482" w:type="dxa"/>
            <w:tcBorders>
              <w:top w:val="nil"/>
              <w:left w:val="nil"/>
              <w:bottom w:val="nil"/>
              <w:right w:val="nil"/>
            </w:tcBorders>
          </w:tcPr>
          <w:p w14:paraId="0E55B151"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3</w:t>
            </w:r>
          </w:p>
        </w:tc>
        <w:tc>
          <w:tcPr>
            <w:tcW w:w="1110" w:type="dxa"/>
            <w:tcBorders>
              <w:top w:val="nil"/>
              <w:left w:val="nil"/>
              <w:bottom w:val="nil"/>
              <w:right w:val="nil"/>
            </w:tcBorders>
          </w:tcPr>
          <w:p w14:paraId="08803B9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GOV</w:t>
            </w:r>
          </w:p>
        </w:tc>
        <w:tc>
          <w:tcPr>
            <w:tcW w:w="663" w:type="dxa"/>
            <w:tcBorders>
              <w:top w:val="nil"/>
              <w:left w:val="nil"/>
              <w:bottom w:val="nil"/>
              <w:right w:val="nil"/>
            </w:tcBorders>
          </w:tcPr>
          <w:p w14:paraId="3A7A7DB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0.34</w:t>
            </w:r>
          </w:p>
        </w:tc>
        <w:tc>
          <w:tcPr>
            <w:tcW w:w="663" w:type="dxa"/>
            <w:tcBorders>
              <w:top w:val="nil"/>
              <w:left w:val="nil"/>
              <w:bottom w:val="nil"/>
              <w:right w:val="nil"/>
            </w:tcBorders>
          </w:tcPr>
          <w:p w14:paraId="0835FDB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-0.86</w:t>
            </w:r>
          </w:p>
        </w:tc>
        <w:tc>
          <w:tcPr>
            <w:tcW w:w="663" w:type="dxa"/>
            <w:tcBorders>
              <w:top w:val="nil"/>
              <w:left w:val="nil"/>
              <w:bottom w:val="nil"/>
              <w:right w:val="nil"/>
            </w:tcBorders>
          </w:tcPr>
          <w:p w14:paraId="1A52673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664D67E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42976C4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46226A9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3160DC0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6BE6E8D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147E6AB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50D027A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5C8ED8B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6F1D89A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54AE9A27" w14:textId="77777777" w:rsidTr="008C53F0">
        <w:trPr>
          <w:trHeight w:val="269"/>
        </w:trPr>
        <w:tc>
          <w:tcPr>
            <w:tcW w:w="482" w:type="dxa"/>
            <w:tcBorders>
              <w:top w:val="nil"/>
              <w:left w:val="nil"/>
              <w:bottom w:val="nil"/>
              <w:right w:val="nil"/>
            </w:tcBorders>
          </w:tcPr>
          <w:p w14:paraId="7B95208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4</w:t>
            </w:r>
          </w:p>
        </w:tc>
        <w:tc>
          <w:tcPr>
            <w:tcW w:w="1110" w:type="dxa"/>
            <w:tcBorders>
              <w:top w:val="nil"/>
              <w:left w:val="nil"/>
              <w:bottom w:val="nil"/>
              <w:right w:val="nil"/>
            </w:tcBorders>
          </w:tcPr>
          <w:p w14:paraId="230D498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IND</w:t>
            </w:r>
          </w:p>
        </w:tc>
        <w:tc>
          <w:tcPr>
            <w:tcW w:w="663" w:type="dxa"/>
            <w:tcBorders>
              <w:top w:val="nil"/>
              <w:left w:val="nil"/>
              <w:bottom w:val="nil"/>
              <w:right w:val="nil"/>
            </w:tcBorders>
          </w:tcPr>
          <w:p w14:paraId="4FC9ED3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-0.01</w:t>
            </w:r>
          </w:p>
        </w:tc>
        <w:tc>
          <w:tcPr>
            <w:tcW w:w="663" w:type="dxa"/>
            <w:tcBorders>
              <w:top w:val="nil"/>
              <w:left w:val="nil"/>
              <w:bottom w:val="nil"/>
              <w:right w:val="nil"/>
            </w:tcBorders>
          </w:tcPr>
          <w:p w14:paraId="109F6EB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0.13</w:t>
            </w:r>
          </w:p>
        </w:tc>
        <w:tc>
          <w:tcPr>
            <w:tcW w:w="663" w:type="dxa"/>
            <w:tcBorders>
              <w:top w:val="nil"/>
              <w:left w:val="nil"/>
              <w:bottom w:val="nil"/>
              <w:right w:val="nil"/>
            </w:tcBorders>
          </w:tcPr>
          <w:p w14:paraId="4F68353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0.04</w:t>
            </w:r>
          </w:p>
        </w:tc>
        <w:tc>
          <w:tcPr>
            <w:tcW w:w="663" w:type="dxa"/>
            <w:tcBorders>
              <w:top w:val="nil"/>
              <w:left w:val="nil"/>
              <w:bottom w:val="nil"/>
              <w:right w:val="nil"/>
            </w:tcBorders>
          </w:tcPr>
          <w:p w14:paraId="6BCEF9D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7E538C0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66303AD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634F2B6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6F4085E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195CC77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175C885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53E6DA8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5A5A48F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16D7631E" w14:textId="77777777" w:rsidTr="008C53F0">
        <w:trPr>
          <w:trHeight w:val="269"/>
        </w:trPr>
        <w:tc>
          <w:tcPr>
            <w:tcW w:w="482" w:type="dxa"/>
            <w:tcBorders>
              <w:top w:val="nil"/>
              <w:left w:val="nil"/>
              <w:bottom w:val="nil"/>
              <w:right w:val="nil"/>
            </w:tcBorders>
          </w:tcPr>
          <w:p w14:paraId="495CA342"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5</w:t>
            </w:r>
          </w:p>
        </w:tc>
        <w:tc>
          <w:tcPr>
            <w:tcW w:w="1110" w:type="dxa"/>
            <w:tcBorders>
              <w:top w:val="nil"/>
              <w:left w:val="nil"/>
              <w:bottom w:val="nil"/>
              <w:right w:val="nil"/>
            </w:tcBorders>
          </w:tcPr>
          <w:p w14:paraId="01EFF3B2"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Duality</w:t>
            </w:r>
          </w:p>
        </w:tc>
        <w:tc>
          <w:tcPr>
            <w:tcW w:w="663" w:type="dxa"/>
            <w:tcBorders>
              <w:top w:val="nil"/>
              <w:left w:val="nil"/>
              <w:bottom w:val="nil"/>
              <w:right w:val="nil"/>
            </w:tcBorders>
          </w:tcPr>
          <w:p w14:paraId="6D64A98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-0.05</w:t>
            </w:r>
          </w:p>
        </w:tc>
        <w:tc>
          <w:tcPr>
            <w:tcW w:w="663" w:type="dxa"/>
            <w:tcBorders>
              <w:top w:val="nil"/>
              <w:left w:val="nil"/>
              <w:bottom w:val="nil"/>
              <w:right w:val="nil"/>
            </w:tcBorders>
          </w:tcPr>
          <w:p w14:paraId="49C8DD9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0.09</w:t>
            </w:r>
          </w:p>
        </w:tc>
        <w:tc>
          <w:tcPr>
            <w:tcW w:w="663" w:type="dxa"/>
            <w:tcBorders>
              <w:top w:val="nil"/>
              <w:left w:val="nil"/>
              <w:bottom w:val="nil"/>
              <w:right w:val="nil"/>
            </w:tcBorders>
          </w:tcPr>
          <w:p w14:paraId="39EAAFB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-0.06</w:t>
            </w:r>
          </w:p>
        </w:tc>
        <w:tc>
          <w:tcPr>
            <w:tcW w:w="663" w:type="dxa"/>
            <w:tcBorders>
              <w:top w:val="nil"/>
              <w:left w:val="nil"/>
              <w:bottom w:val="nil"/>
              <w:right w:val="nil"/>
            </w:tcBorders>
          </w:tcPr>
          <w:p w14:paraId="7B63FDF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-0.02</w:t>
            </w:r>
          </w:p>
        </w:tc>
        <w:tc>
          <w:tcPr>
            <w:tcW w:w="663" w:type="dxa"/>
            <w:tcBorders>
              <w:top w:val="nil"/>
              <w:left w:val="nil"/>
              <w:bottom w:val="nil"/>
              <w:right w:val="nil"/>
            </w:tcBorders>
          </w:tcPr>
          <w:p w14:paraId="4612913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5159FCD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04469D3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240A85F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42C27B5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3A03C42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3D88E17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473D544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29A3094D" w14:textId="77777777" w:rsidTr="008C53F0">
        <w:trPr>
          <w:trHeight w:val="283"/>
        </w:trPr>
        <w:tc>
          <w:tcPr>
            <w:tcW w:w="482" w:type="dxa"/>
            <w:tcBorders>
              <w:top w:val="nil"/>
              <w:left w:val="nil"/>
              <w:bottom w:val="nil"/>
              <w:right w:val="nil"/>
            </w:tcBorders>
          </w:tcPr>
          <w:p w14:paraId="60022D4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6</w:t>
            </w:r>
          </w:p>
        </w:tc>
        <w:tc>
          <w:tcPr>
            <w:tcW w:w="1110" w:type="dxa"/>
            <w:tcBorders>
              <w:top w:val="nil"/>
              <w:left w:val="nil"/>
              <w:bottom w:val="nil"/>
              <w:right w:val="nil"/>
            </w:tcBorders>
          </w:tcPr>
          <w:p w14:paraId="4E8F92D2"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Size</w:t>
            </w:r>
          </w:p>
        </w:tc>
        <w:tc>
          <w:tcPr>
            <w:tcW w:w="663" w:type="dxa"/>
            <w:tcBorders>
              <w:top w:val="nil"/>
              <w:left w:val="nil"/>
              <w:bottom w:val="nil"/>
              <w:right w:val="nil"/>
            </w:tcBorders>
          </w:tcPr>
          <w:p w14:paraId="75006B8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-0.08</w:t>
            </w:r>
          </w:p>
        </w:tc>
        <w:tc>
          <w:tcPr>
            <w:tcW w:w="663" w:type="dxa"/>
            <w:tcBorders>
              <w:top w:val="nil"/>
              <w:left w:val="nil"/>
              <w:bottom w:val="nil"/>
              <w:right w:val="nil"/>
            </w:tcBorders>
          </w:tcPr>
          <w:p w14:paraId="2C2B550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0.07</w:t>
            </w:r>
          </w:p>
        </w:tc>
        <w:tc>
          <w:tcPr>
            <w:tcW w:w="663" w:type="dxa"/>
            <w:tcBorders>
              <w:top w:val="nil"/>
              <w:left w:val="nil"/>
              <w:bottom w:val="nil"/>
              <w:right w:val="nil"/>
            </w:tcBorders>
          </w:tcPr>
          <w:p w14:paraId="1569754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-0.04</w:t>
            </w:r>
          </w:p>
        </w:tc>
        <w:tc>
          <w:tcPr>
            <w:tcW w:w="663" w:type="dxa"/>
            <w:tcBorders>
              <w:top w:val="nil"/>
              <w:left w:val="nil"/>
              <w:bottom w:val="nil"/>
              <w:right w:val="nil"/>
            </w:tcBorders>
          </w:tcPr>
          <w:p w14:paraId="09C45A0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-0.27</w:t>
            </w:r>
          </w:p>
        </w:tc>
        <w:tc>
          <w:tcPr>
            <w:tcW w:w="663" w:type="dxa"/>
            <w:tcBorders>
              <w:top w:val="nil"/>
              <w:left w:val="nil"/>
              <w:bottom w:val="nil"/>
              <w:right w:val="nil"/>
            </w:tcBorders>
          </w:tcPr>
          <w:p w14:paraId="4CBE1AA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0.33</w:t>
            </w:r>
          </w:p>
        </w:tc>
        <w:tc>
          <w:tcPr>
            <w:tcW w:w="663" w:type="dxa"/>
            <w:tcBorders>
              <w:top w:val="nil"/>
              <w:left w:val="nil"/>
              <w:bottom w:val="nil"/>
              <w:right w:val="nil"/>
            </w:tcBorders>
          </w:tcPr>
          <w:p w14:paraId="3411524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178E774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4F831146"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723A778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480872B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072606A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58D9767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1B1A507B" w14:textId="77777777" w:rsidTr="008C53F0">
        <w:trPr>
          <w:trHeight w:val="269"/>
        </w:trPr>
        <w:tc>
          <w:tcPr>
            <w:tcW w:w="482" w:type="dxa"/>
            <w:tcBorders>
              <w:top w:val="nil"/>
              <w:left w:val="nil"/>
              <w:bottom w:val="nil"/>
              <w:right w:val="nil"/>
            </w:tcBorders>
          </w:tcPr>
          <w:p w14:paraId="6EA8A6C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7</w:t>
            </w:r>
          </w:p>
        </w:tc>
        <w:tc>
          <w:tcPr>
            <w:tcW w:w="1110" w:type="dxa"/>
            <w:tcBorders>
              <w:top w:val="nil"/>
              <w:left w:val="nil"/>
              <w:bottom w:val="nil"/>
              <w:right w:val="nil"/>
            </w:tcBorders>
          </w:tcPr>
          <w:p w14:paraId="571368B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ROA</w:t>
            </w:r>
          </w:p>
        </w:tc>
        <w:tc>
          <w:tcPr>
            <w:tcW w:w="663" w:type="dxa"/>
            <w:tcBorders>
              <w:top w:val="nil"/>
              <w:left w:val="nil"/>
              <w:bottom w:val="nil"/>
              <w:right w:val="nil"/>
            </w:tcBorders>
          </w:tcPr>
          <w:p w14:paraId="1EA57D3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-0.20</w:t>
            </w:r>
          </w:p>
        </w:tc>
        <w:tc>
          <w:tcPr>
            <w:tcW w:w="663" w:type="dxa"/>
            <w:tcBorders>
              <w:top w:val="nil"/>
              <w:left w:val="nil"/>
              <w:bottom w:val="nil"/>
              <w:right w:val="nil"/>
            </w:tcBorders>
          </w:tcPr>
          <w:p w14:paraId="4DC1720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-0.01</w:t>
            </w:r>
          </w:p>
        </w:tc>
        <w:tc>
          <w:tcPr>
            <w:tcW w:w="663" w:type="dxa"/>
            <w:tcBorders>
              <w:top w:val="nil"/>
              <w:left w:val="nil"/>
              <w:bottom w:val="nil"/>
              <w:right w:val="nil"/>
            </w:tcBorders>
          </w:tcPr>
          <w:p w14:paraId="11418371"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0.08</w:t>
            </w:r>
          </w:p>
        </w:tc>
        <w:tc>
          <w:tcPr>
            <w:tcW w:w="663" w:type="dxa"/>
            <w:tcBorders>
              <w:top w:val="nil"/>
              <w:left w:val="nil"/>
              <w:bottom w:val="nil"/>
              <w:right w:val="nil"/>
            </w:tcBorders>
          </w:tcPr>
          <w:p w14:paraId="195C3F4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0.08</w:t>
            </w:r>
          </w:p>
        </w:tc>
        <w:tc>
          <w:tcPr>
            <w:tcW w:w="663" w:type="dxa"/>
            <w:tcBorders>
              <w:top w:val="nil"/>
              <w:left w:val="nil"/>
              <w:bottom w:val="nil"/>
              <w:right w:val="nil"/>
            </w:tcBorders>
          </w:tcPr>
          <w:p w14:paraId="02F517C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0.02</w:t>
            </w:r>
          </w:p>
        </w:tc>
        <w:tc>
          <w:tcPr>
            <w:tcW w:w="663" w:type="dxa"/>
            <w:tcBorders>
              <w:top w:val="nil"/>
              <w:left w:val="nil"/>
              <w:bottom w:val="nil"/>
              <w:right w:val="nil"/>
            </w:tcBorders>
          </w:tcPr>
          <w:p w14:paraId="0F9D3C7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0.07</w:t>
            </w:r>
          </w:p>
        </w:tc>
        <w:tc>
          <w:tcPr>
            <w:tcW w:w="663" w:type="dxa"/>
            <w:tcBorders>
              <w:top w:val="nil"/>
              <w:left w:val="nil"/>
              <w:bottom w:val="nil"/>
              <w:right w:val="nil"/>
            </w:tcBorders>
          </w:tcPr>
          <w:p w14:paraId="1E24F2D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0A85755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3CF2F31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4F641EC1"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4EFCBFC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51573F0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796EC034" w14:textId="77777777" w:rsidTr="008C53F0">
        <w:trPr>
          <w:trHeight w:val="269"/>
        </w:trPr>
        <w:tc>
          <w:tcPr>
            <w:tcW w:w="482" w:type="dxa"/>
            <w:tcBorders>
              <w:top w:val="nil"/>
              <w:left w:val="nil"/>
              <w:bottom w:val="nil"/>
              <w:right w:val="nil"/>
            </w:tcBorders>
          </w:tcPr>
          <w:p w14:paraId="5B8E3D1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8</w:t>
            </w:r>
          </w:p>
        </w:tc>
        <w:tc>
          <w:tcPr>
            <w:tcW w:w="1110" w:type="dxa"/>
            <w:tcBorders>
              <w:top w:val="nil"/>
              <w:left w:val="nil"/>
              <w:bottom w:val="nil"/>
              <w:right w:val="nil"/>
            </w:tcBorders>
          </w:tcPr>
          <w:p w14:paraId="7ACACDA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LEV</w:t>
            </w:r>
          </w:p>
        </w:tc>
        <w:tc>
          <w:tcPr>
            <w:tcW w:w="663" w:type="dxa"/>
            <w:tcBorders>
              <w:top w:val="nil"/>
              <w:left w:val="nil"/>
              <w:bottom w:val="nil"/>
              <w:right w:val="nil"/>
            </w:tcBorders>
          </w:tcPr>
          <w:p w14:paraId="5141981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-0.07</w:t>
            </w:r>
          </w:p>
        </w:tc>
        <w:tc>
          <w:tcPr>
            <w:tcW w:w="663" w:type="dxa"/>
            <w:tcBorders>
              <w:top w:val="nil"/>
              <w:left w:val="nil"/>
              <w:bottom w:val="nil"/>
              <w:right w:val="nil"/>
            </w:tcBorders>
          </w:tcPr>
          <w:p w14:paraId="5C74FC1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0.01</w:t>
            </w:r>
          </w:p>
        </w:tc>
        <w:tc>
          <w:tcPr>
            <w:tcW w:w="663" w:type="dxa"/>
            <w:tcBorders>
              <w:top w:val="nil"/>
              <w:left w:val="nil"/>
              <w:bottom w:val="nil"/>
              <w:right w:val="nil"/>
            </w:tcBorders>
          </w:tcPr>
          <w:p w14:paraId="0EF774E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w:t>
            </w:r>
          </w:p>
        </w:tc>
        <w:tc>
          <w:tcPr>
            <w:tcW w:w="663" w:type="dxa"/>
            <w:tcBorders>
              <w:top w:val="nil"/>
              <w:left w:val="nil"/>
              <w:bottom w:val="nil"/>
              <w:right w:val="nil"/>
            </w:tcBorders>
          </w:tcPr>
          <w:p w14:paraId="464D1331"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-0.02</w:t>
            </w:r>
          </w:p>
        </w:tc>
        <w:tc>
          <w:tcPr>
            <w:tcW w:w="663" w:type="dxa"/>
            <w:tcBorders>
              <w:top w:val="nil"/>
              <w:left w:val="nil"/>
              <w:bottom w:val="nil"/>
              <w:right w:val="nil"/>
            </w:tcBorders>
          </w:tcPr>
          <w:p w14:paraId="15E62502"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0.05</w:t>
            </w:r>
          </w:p>
        </w:tc>
        <w:tc>
          <w:tcPr>
            <w:tcW w:w="663" w:type="dxa"/>
            <w:tcBorders>
              <w:top w:val="nil"/>
              <w:left w:val="nil"/>
              <w:bottom w:val="nil"/>
              <w:right w:val="nil"/>
            </w:tcBorders>
          </w:tcPr>
          <w:p w14:paraId="392667E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0.04</w:t>
            </w:r>
          </w:p>
        </w:tc>
        <w:tc>
          <w:tcPr>
            <w:tcW w:w="663" w:type="dxa"/>
            <w:tcBorders>
              <w:top w:val="nil"/>
              <w:left w:val="nil"/>
              <w:bottom w:val="nil"/>
              <w:right w:val="nil"/>
            </w:tcBorders>
          </w:tcPr>
          <w:p w14:paraId="116D399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0.39</w:t>
            </w:r>
          </w:p>
        </w:tc>
        <w:tc>
          <w:tcPr>
            <w:tcW w:w="663" w:type="dxa"/>
            <w:tcBorders>
              <w:top w:val="nil"/>
              <w:left w:val="nil"/>
              <w:bottom w:val="nil"/>
              <w:right w:val="nil"/>
            </w:tcBorders>
          </w:tcPr>
          <w:p w14:paraId="2647884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2143387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663" w:type="dxa"/>
            <w:vMerge/>
            <w:tcBorders>
              <w:top w:val="nil"/>
              <w:left w:val="nil"/>
              <w:bottom w:val="nil"/>
              <w:right w:val="nil"/>
            </w:tcBorders>
          </w:tcPr>
          <w:p w14:paraId="2ADA5466"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14E489C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1E85432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6FF8D889" w14:textId="77777777" w:rsidTr="008C53F0">
        <w:trPr>
          <w:trHeight w:val="269"/>
        </w:trPr>
        <w:tc>
          <w:tcPr>
            <w:tcW w:w="482" w:type="dxa"/>
            <w:tcBorders>
              <w:top w:val="nil"/>
              <w:left w:val="nil"/>
              <w:bottom w:val="nil"/>
              <w:right w:val="nil"/>
            </w:tcBorders>
          </w:tcPr>
          <w:p w14:paraId="28D0873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9</w:t>
            </w:r>
          </w:p>
        </w:tc>
        <w:tc>
          <w:tcPr>
            <w:tcW w:w="1110" w:type="dxa"/>
            <w:tcBorders>
              <w:top w:val="nil"/>
              <w:left w:val="nil"/>
              <w:bottom w:val="nil"/>
              <w:right w:val="nil"/>
            </w:tcBorders>
          </w:tcPr>
          <w:p w14:paraId="62DF703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MTB</w:t>
            </w:r>
          </w:p>
        </w:tc>
        <w:tc>
          <w:tcPr>
            <w:tcW w:w="663" w:type="dxa"/>
            <w:tcBorders>
              <w:top w:val="nil"/>
              <w:left w:val="nil"/>
              <w:bottom w:val="nil"/>
              <w:right w:val="nil"/>
            </w:tcBorders>
          </w:tcPr>
          <w:p w14:paraId="30DFD846"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0.08</w:t>
            </w:r>
          </w:p>
        </w:tc>
        <w:tc>
          <w:tcPr>
            <w:tcW w:w="663" w:type="dxa"/>
            <w:tcBorders>
              <w:top w:val="nil"/>
              <w:left w:val="nil"/>
              <w:bottom w:val="nil"/>
              <w:right w:val="nil"/>
            </w:tcBorders>
          </w:tcPr>
          <w:p w14:paraId="1678D26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-0.03</w:t>
            </w:r>
          </w:p>
        </w:tc>
        <w:tc>
          <w:tcPr>
            <w:tcW w:w="663" w:type="dxa"/>
            <w:tcBorders>
              <w:top w:val="nil"/>
              <w:left w:val="nil"/>
              <w:bottom w:val="nil"/>
              <w:right w:val="nil"/>
            </w:tcBorders>
          </w:tcPr>
          <w:p w14:paraId="342D164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0.01</w:t>
            </w:r>
          </w:p>
        </w:tc>
        <w:tc>
          <w:tcPr>
            <w:tcW w:w="663" w:type="dxa"/>
            <w:tcBorders>
              <w:top w:val="nil"/>
              <w:left w:val="nil"/>
              <w:bottom w:val="nil"/>
              <w:right w:val="nil"/>
            </w:tcBorders>
          </w:tcPr>
          <w:p w14:paraId="40BD9A7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0.25</w:t>
            </w:r>
          </w:p>
        </w:tc>
        <w:tc>
          <w:tcPr>
            <w:tcW w:w="663" w:type="dxa"/>
            <w:tcBorders>
              <w:top w:val="nil"/>
              <w:left w:val="nil"/>
              <w:bottom w:val="nil"/>
              <w:right w:val="nil"/>
            </w:tcBorders>
          </w:tcPr>
          <w:p w14:paraId="44DB587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-0.17</w:t>
            </w:r>
          </w:p>
        </w:tc>
        <w:tc>
          <w:tcPr>
            <w:tcW w:w="663" w:type="dxa"/>
            <w:tcBorders>
              <w:top w:val="nil"/>
              <w:left w:val="nil"/>
              <w:bottom w:val="nil"/>
              <w:right w:val="nil"/>
            </w:tcBorders>
          </w:tcPr>
          <w:p w14:paraId="2DDD9E8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-0.36</w:t>
            </w:r>
          </w:p>
        </w:tc>
        <w:tc>
          <w:tcPr>
            <w:tcW w:w="663" w:type="dxa"/>
            <w:tcBorders>
              <w:top w:val="nil"/>
              <w:left w:val="nil"/>
              <w:bottom w:val="nil"/>
              <w:right w:val="nil"/>
            </w:tcBorders>
          </w:tcPr>
          <w:p w14:paraId="2A177DF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-0.05</w:t>
            </w:r>
          </w:p>
        </w:tc>
        <w:tc>
          <w:tcPr>
            <w:tcW w:w="663" w:type="dxa"/>
            <w:tcBorders>
              <w:top w:val="nil"/>
              <w:left w:val="nil"/>
              <w:bottom w:val="nil"/>
              <w:right w:val="nil"/>
            </w:tcBorders>
          </w:tcPr>
          <w:p w14:paraId="6247DC7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-0.24</w:t>
            </w:r>
          </w:p>
        </w:tc>
        <w:tc>
          <w:tcPr>
            <w:tcW w:w="663" w:type="dxa"/>
            <w:tcBorders>
              <w:top w:val="nil"/>
              <w:left w:val="nil"/>
              <w:bottom w:val="nil"/>
              <w:right w:val="nil"/>
            </w:tcBorders>
          </w:tcPr>
          <w:p w14:paraId="79E1D7D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663" w:type="dxa"/>
            <w:vMerge/>
            <w:tcBorders>
              <w:top w:val="nil"/>
              <w:left w:val="nil"/>
              <w:bottom w:val="nil"/>
              <w:right w:val="nil"/>
            </w:tcBorders>
          </w:tcPr>
          <w:p w14:paraId="68220A5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87" w:type="dxa"/>
            <w:vMerge/>
            <w:tcBorders>
              <w:top w:val="nil"/>
              <w:left w:val="nil"/>
              <w:bottom w:val="nil"/>
              <w:right w:val="nil"/>
            </w:tcBorders>
          </w:tcPr>
          <w:p w14:paraId="7CF30D6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1356474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5BC1022A" w14:textId="77777777" w:rsidTr="008C53F0">
        <w:trPr>
          <w:trHeight w:val="269"/>
        </w:trPr>
        <w:tc>
          <w:tcPr>
            <w:tcW w:w="482" w:type="dxa"/>
            <w:tcBorders>
              <w:top w:val="nil"/>
              <w:left w:val="nil"/>
              <w:bottom w:val="nil"/>
              <w:right w:val="nil"/>
            </w:tcBorders>
          </w:tcPr>
          <w:p w14:paraId="389801F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10</w:t>
            </w:r>
          </w:p>
        </w:tc>
        <w:tc>
          <w:tcPr>
            <w:tcW w:w="1110" w:type="dxa"/>
            <w:tcBorders>
              <w:top w:val="nil"/>
              <w:left w:val="nil"/>
              <w:bottom w:val="nil"/>
              <w:right w:val="nil"/>
            </w:tcBorders>
          </w:tcPr>
          <w:p w14:paraId="3A9161C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FDISTER</w:t>
            </w:r>
          </w:p>
        </w:tc>
        <w:tc>
          <w:tcPr>
            <w:tcW w:w="663" w:type="dxa"/>
            <w:tcBorders>
              <w:top w:val="nil"/>
              <w:left w:val="nil"/>
              <w:bottom w:val="nil"/>
              <w:right w:val="nil"/>
            </w:tcBorders>
          </w:tcPr>
          <w:p w14:paraId="7661472A"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0.06</w:t>
            </w:r>
          </w:p>
        </w:tc>
        <w:tc>
          <w:tcPr>
            <w:tcW w:w="663" w:type="dxa"/>
            <w:tcBorders>
              <w:top w:val="nil"/>
              <w:left w:val="nil"/>
              <w:bottom w:val="nil"/>
              <w:right w:val="nil"/>
            </w:tcBorders>
          </w:tcPr>
          <w:p w14:paraId="0CF40CB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0.07</w:t>
            </w:r>
          </w:p>
        </w:tc>
        <w:tc>
          <w:tcPr>
            <w:tcW w:w="663" w:type="dxa"/>
            <w:tcBorders>
              <w:top w:val="nil"/>
              <w:left w:val="nil"/>
              <w:bottom w:val="nil"/>
              <w:right w:val="nil"/>
            </w:tcBorders>
          </w:tcPr>
          <w:p w14:paraId="0998CF6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-0.06</w:t>
            </w:r>
          </w:p>
        </w:tc>
        <w:tc>
          <w:tcPr>
            <w:tcW w:w="663" w:type="dxa"/>
            <w:tcBorders>
              <w:top w:val="nil"/>
              <w:left w:val="nil"/>
              <w:bottom w:val="nil"/>
              <w:right w:val="nil"/>
            </w:tcBorders>
          </w:tcPr>
          <w:p w14:paraId="465A679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0.27</w:t>
            </w:r>
          </w:p>
        </w:tc>
        <w:tc>
          <w:tcPr>
            <w:tcW w:w="663" w:type="dxa"/>
            <w:tcBorders>
              <w:top w:val="nil"/>
              <w:left w:val="nil"/>
              <w:bottom w:val="nil"/>
              <w:right w:val="nil"/>
            </w:tcBorders>
          </w:tcPr>
          <w:p w14:paraId="15458B70"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0.05</w:t>
            </w:r>
          </w:p>
        </w:tc>
        <w:tc>
          <w:tcPr>
            <w:tcW w:w="663" w:type="dxa"/>
            <w:tcBorders>
              <w:top w:val="nil"/>
              <w:left w:val="nil"/>
              <w:bottom w:val="nil"/>
              <w:right w:val="nil"/>
            </w:tcBorders>
          </w:tcPr>
          <w:p w14:paraId="28031145"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lang w:bidi="fa-IR"/>
              </w:rPr>
            </w:pPr>
            <w:r w:rsidRPr="008A3CBE">
              <w:rPr>
                <w:rFonts w:asciiTheme="majorBidi" w:hAnsiTheme="majorBidi" w:cstheme="majorBidi"/>
                <w:sz w:val="20"/>
                <w:szCs w:val="20"/>
              </w:rPr>
              <w:t>-0.21</w:t>
            </w:r>
          </w:p>
        </w:tc>
        <w:tc>
          <w:tcPr>
            <w:tcW w:w="663" w:type="dxa"/>
            <w:tcBorders>
              <w:top w:val="nil"/>
              <w:left w:val="nil"/>
              <w:bottom w:val="nil"/>
              <w:right w:val="nil"/>
            </w:tcBorders>
          </w:tcPr>
          <w:p w14:paraId="18BA45C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0.16</w:t>
            </w:r>
          </w:p>
        </w:tc>
        <w:tc>
          <w:tcPr>
            <w:tcW w:w="663" w:type="dxa"/>
            <w:tcBorders>
              <w:top w:val="nil"/>
              <w:left w:val="nil"/>
              <w:bottom w:val="nil"/>
              <w:right w:val="nil"/>
            </w:tcBorders>
          </w:tcPr>
          <w:p w14:paraId="3D13C89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0.14</w:t>
            </w:r>
          </w:p>
        </w:tc>
        <w:tc>
          <w:tcPr>
            <w:tcW w:w="663" w:type="dxa"/>
            <w:tcBorders>
              <w:top w:val="nil"/>
              <w:left w:val="nil"/>
              <w:bottom w:val="nil"/>
              <w:right w:val="nil"/>
            </w:tcBorders>
          </w:tcPr>
          <w:p w14:paraId="3B035F3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0.31</w:t>
            </w:r>
          </w:p>
        </w:tc>
        <w:tc>
          <w:tcPr>
            <w:tcW w:w="663" w:type="dxa"/>
            <w:tcBorders>
              <w:top w:val="nil"/>
              <w:left w:val="nil"/>
              <w:bottom w:val="nil"/>
              <w:right w:val="nil"/>
            </w:tcBorders>
          </w:tcPr>
          <w:p w14:paraId="0B696FD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587" w:type="dxa"/>
            <w:vMerge/>
            <w:tcBorders>
              <w:top w:val="nil"/>
              <w:left w:val="nil"/>
              <w:bottom w:val="nil"/>
              <w:right w:val="nil"/>
            </w:tcBorders>
          </w:tcPr>
          <w:p w14:paraId="66F46C4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575" w:type="dxa"/>
            <w:vMerge/>
            <w:tcBorders>
              <w:top w:val="nil"/>
              <w:left w:val="nil"/>
              <w:bottom w:val="nil"/>
              <w:right w:val="nil"/>
            </w:tcBorders>
          </w:tcPr>
          <w:p w14:paraId="49EB1CE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71E5A72B" w14:textId="77777777" w:rsidTr="008C53F0">
        <w:trPr>
          <w:trHeight w:val="269"/>
        </w:trPr>
        <w:tc>
          <w:tcPr>
            <w:tcW w:w="482" w:type="dxa"/>
            <w:tcBorders>
              <w:top w:val="nil"/>
              <w:left w:val="nil"/>
              <w:bottom w:val="nil"/>
              <w:right w:val="nil"/>
            </w:tcBorders>
          </w:tcPr>
          <w:p w14:paraId="167CF83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11</w:t>
            </w:r>
          </w:p>
        </w:tc>
        <w:tc>
          <w:tcPr>
            <w:tcW w:w="1110" w:type="dxa"/>
            <w:tcBorders>
              <w:top w:val="nil"/>
              <w:left w:val="nil"/>
              <w:bottom w:val="nil"/>
              <w:right w:val="nil"/>
            </w:tcBorders>
          </w:tcPr>
          <w:p w14:paraId="534A886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8A3CBE">
              <w:rPr>
                <w:rFonts w:asciiTheme="majorBidi" w:hAnsiTheme="majorBidi" w:cstheme="majorBidi"/>
                <w:sz w:val="20"/>
                <w:szCs w:val="20"/>
              </w:rPr>
              <w:t>Intan</w:t>
            </w:r>
            <w:proofErr w:type="spellEnd"/>
          </w:p>
        </w:tc>
        <w:tc>
          <w:tcPr>
            <w:tcW w:w="663" w:type="dxa"/>
            <w:tcBorders>
              <w:top w:val="nil"/>
              <w:left w:val="nil"/>
              <w:bottom w:val="nil"/>
              <w:right w:val="nil"/>
            </w:tcBorders>
          </w:tcPr>
          <w:p w14:paraId="6D60BDD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-0.11</w:t>
            </w:r>
          </w:p>
        </w:tc>
        <w:tc>
          <w:tcPr>
            <w:tcW w:w="663" w:type="dxa"/>
            <w:tcBorders>
              <w:top w:val="nil"/>
              <w:left w:val="nil"/>
              <w:bottom w:val="nil"/>
              <w:right w:val="nil"/>
            </w:tcBorders>
          </w:tcPr>
          <w:p w14:paraId="3361130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0.01</w:t>
            </w:r>
          </w:p>
        </w:tc>
        <w:tc>
          <w:tcPr>
            <w:tcW w:w="663" w:type="dxa"/>
            <w:tcBorders>
              <w:top w:val="nil"/>
              <w:left w:val="nil"/>
              <w:bottom w:val="nil"/>
              <w:right w:val="nil"/>
            </w:tcBorders>
          </w:tcPr>
          <w:p w14:paraId="2E2355C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-0.01</w:t>
            </w:r>
          </w:p>
        </w:tc>
        <w:tc>
          <w:tcPr>
            <w:tcW w:w="663" w:type="dxa"/>
            <w:tcBorders>
              <w:top w:val="nil"/>
              <w:left w:val="nil"/>
              <w:bottom w:val="nil"/>
              <w:right w:val="nil"/>
            </w:tcBorders>
          </w:tcPr>
          <w:p w14:paraId="1C9F48A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-0.40</w:t>
            </w:r>
          </w:p>
        </w:tc>
        <w:tc>
          <w:tcPr>
            <w:tcW w:w="663" w:type="dxa"/>
            <w:tcBorders>
              <w:top w:val="nil"/>
              <w:left w:val="nil"/>
              <w:bottom w:val="nil"/>
              <w:right w:val="nil"/>
            </w:tcBorders>
          </w:tcPr>
          <w:p w14:paraId="25B3FF5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0.19</w:t>
            </w:r>
          </w:p>
        </w:tc>
        <w:tc>
          <w:tcPr>
            <w:tcW w:w="663" w:type="dxa"/>
            <w:tcBorders>
              <w:top w:val="nil"/>
              <w:left w:val="nil"/>
              <w:bottom w:val="nil"/>
              <w:right w:val="nil"/>
            </w:tcBorders>
          </w:tcPr>
          <w:p w14:paraId="0556CAE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0.58</w:t>
            </w:r>
          </w:p>
        </w:tc>
        <w:tc>
          <w:tcPr>
            <w:tcW w:w="663" w:type="dxa"/>
            <w:tcBorders>
              <w:top w:val="nil"/>
              <w:left w:val="nil"/>
              <w:bottom w:val="nil"/>
              <w:right w:val="nil"/>
            </w:tcBorders>
          </w:tcPr>
          <w:p w14:paraId="6DB2B8C9"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0.05</w:t>
            </w:r>
          </w:p>
        </w:tc>
        <w:tc>
          <w:tcPr>
            <w:tcW w:w="663" w:type="dxa"/>
            <w:tcBorders>
              <w:top w:val="nil"/>
              <w:left w:val="nil"/>
              <w:bottom w:val="nil"/>
              <w:right w:val="nil"/>
            </w:tcBorders>
          </w:tcPr>
          <w:p w14:paraId="7C67F20C"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0.10</w:t>
            </w:r>
          </w:p>
        </w:tc>
        <w:tc>
          <w:tcPr>
            <w:tcW w:w="663" w:type="dxa"/>
            <w:tcBorders>
              <w:top w:val="nil"/>
              <w:left w:val="nil"/>
              <w:bottom w:val="nil"/>
              <w:right w:val="nil"/>
            </w:tcBorders>
          </w:tcPr>
          <w:p w14:paraId="3ABDC07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-0.38</w:t>
            </w:r>
          </w:p>
        </w:tc>
        <w:tc>
          <w:tcPr>
            <w:tcW w:w="663" w:type="dxa"/>
            <w:tcBorders>
              <w:top w:val="nil"/>
              <w:left w:val="nil"/>
              <w:bottom w:val="nil"/>
              <w:right w:val="nil"/>
            </w:tcBorders>
          </w:tcPr>
          <w:p w14:paraId="1C8CF2F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-0.21</w:t>
            </w:r>
          </w:p>
        </w:tc>
        <w:tc>
          <w:tcPr>
            <w:tcW w:w="587" w:type="dxa"/>
            <w:tcBorders>
              <w:top w:val="nil"/>
              <w:left w:val="nil"/>
              <w:bottom w:val="nil"/>
              <w:right w:val="nil"/>
            </w:tcBorders>
          </w:tcPr>
          <w:p w14:paraId="6652AD5F"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c>
          <w:tcPr>
            <w:tcW w:w="575" w:type="dxa"/>
            <w:vMerge/>
            <w:tcBorders>
              <w:top w:val="nil"/>
              <w:left w:val="nil"/>
              <w:bottom w:val="nil"/>
              <w:right w:val="nil"/>
            </w:tcBorders>
          </w:tcPr>
          <w:p w14:paraId="0CD21112"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r w:rsidR="00297F65" w:rsidRPr="008A3CBE" w14:paraId="58C25F15" w14:textId="77777777" w:rsidTr="008C53F0">
        <w:trPr>
          <w:trHeight w:val="283"/>
        </w:trPr>
        <w:tc>
          <w:tcPr>
            <w:tcW w:w="482" w:type="dxa"/>
            <w:tcBorders>
              <w:top w:val="nil"/>
              <w:left w:val="nil"/>
              <w:bottom w:val="single" w:sz="4" w:space="0" w:color="auto"/>
              <w:right w:val="nil"/>
            </w:tcBorders>
          </w:tcPr>
          <w:p w14:paraId="124B0F5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12</w:t>
            </w:r>
          </w:p>
        </w:tc>
        <w:tc>
          <w:tcPr>
            <w:tcW w:w="1110" w:type="dxa"/>
            <w:tcBorders>
              <w:top w:val="nil"/>
              <w:left w:val="nil"/>
              <w:bottom w:val="single" w:sz="4" w:space="0" w:color="auto"/>
              <w:right w:val="nil"/>
            </w:tcBorders>
          </w:tcPr>
          <w:p w14:paraId="649833A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BIG</w:t>
            </w:r>
          </w:p>
        </w:tc>
        <w:tc>
          <w:tcPr>
            <w:tcW w:w="663" w:type="dxa"/>
            <w:tcBorders>
              <w:top w:val="nil"/>
              <w:left w:val="nil"/>
              <w:bottom w:val="single" w:sz="4" w:space="0" w:color="auto"/>
              <w:right w:val="nil"/>
            </w:tcBorders>
          </w:tcPr>
          <w:p w14:paraId="3E03611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-0.01</w:t>
            </w:r>
          </w:p>
        </w:tc>
        <w:tc>
          <w:tcPr>
            <w:tcW w:w="663" w:type="dxa"/>
            <w:tcBorders>
              <w:top w:val="nil"/>
              <w:left w:val="nil"/>
              <w:bottom w:val="single" w:sz="4" w:space="0" w:color="auto"/>
              <w:right w:val="nil"/>
            </w:tcBorders>
          </w:tcPr>
          <w:p w14:paraId="22B0A91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0.10</w:t>
            </w:r>
          </w:p>
        </w:tc>
        <w:tc>
          <w:tcPr>
            <w:tcW w:w="663" w:type="dxa"/>
            <w:tcBorders>
              <w:top w:val="nil"/>
              <w:left w:val="nil"/>
              <w:bottom w:val="single" w:sz="4" w:space="0" w:color="auto"/>
              <w:right w:val="nil"/>
            </w:tcBorders>
          </w:tcPr>
          <w:p w14:paraId="6E549DB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-0.10</w:t>
            </w:r>
          </w:p>
        </w:tc>
        <w:tc>
          <w:tcPr>
            <w:tcW w:w="663" w:type="dxa"/>
            <w:tcBorders>
              <w:top w:val="nil"/>
              <w:left w:val="nil"/>
              <w:bottom w:val="single" w:sz="4" w:space="0" w:color="auto"/>
              <w:right w:val="nil"/>
            </w:tcBorders>
          </w:tcPr>
          <w:p w14:paraId="3F34648E"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-0.21</w:t>
            </w:r>
          </w:p>
        </w:tc>
        <w:tc>
          <w:tcPr>
            <w:tcW w:w="663" w:type="dxa"/>
            <w:tcBorders>
              <w:top w:val="nil"/>
              <w:left w:val="nil"/>
              <w:bottom w:val="single" w:sz="4" w:space="0" w:color="auto"/>
              <w:right w:val="nil"/>
            </w:tcBorders>
          </w:tcPr>
          <w:p w14:paraId="58027007"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0.08</w:t>
            </w:r>
          </w:p>
        </w:tc>
        <w:tc>
          <w:tcPr>
            <w:tcW w:w="663" w:type="dxa"/>
            <w:tcBorders>
              <w:top w:val="nil"/>
              <w:left w:val="nil"/>
              <w:bottom w:val="single" w:sz="4" w:space="0" w:color="auto"/>
              <w:right w:val="nil"/>
            </w:tcBorders>
          </w:tcPr>
          <w:p w14:paraId="7090B19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0.32</w:t>
            </w:r>
          </w:p>
        </w:tc>
        <w:tc>
          <w:tcPr>
            <w:tcW w:w="663" w:type="dxa"/>
            <w:tcBorders>
              <w:top w:val="nil"/>
              <w:left w:val="nil"/>
              <w:bottom w:val="single" w:sz="4" w:space="0" w:color="auto"/>
              <w:right w:val="nil"/>
            </w:tcBorders>
          </w:tcPr>
          <w:p w14:paraId="79F97053"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-0.03</w:t>
            </w:r>
          </w:p>
        </w:tc>
        <w:tc>
          <w:tcPr>
            <w:tcW w:w="663" w:type="dxa"/>
            <w:tcBorders>
              <w:top w:val="nil"/>
              <w:left w:val="nil"/>
              <w:bottom w:val="single" w:sz="4" w:space="0" w:color="auto"/>
              <w:right w:val="nil"/>
            </w:tcBorders>
          </w:tcPr>
          <w:p w14:paraId="71572034"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0.11</w:t>
            </w:r>
          </w:p>
        </w:tc>
        <w:tc>
          <w:tcPr>
            <w:tcW w:w="663" w:type="dxa"/>
            <w:tcBorders>
              <w:top w:val="nil"/>
              <w:left w:val="nil"/>
              <w:bottom w:val="single" w:sz="4" w:space="0" w:color="auto"/>
              <w:right w:val="nil"/>
            </w:tcBorders>
          </w:tcPr>
          <w:p w14:paraId="367B5511"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-0.30</w:t>
            </w:r>
          </w:p>
        </w:tc>
        <w:tc>
          <w:tcPr>
            <w:tcW w:w="663" w:type="dxa"/>
            <w:tcBorders>
              <w:top w:val="nil"/>
              <w:left w:val="nil"/>
              <w:bottom w:val="single" w:sz="4" w:space="0" w:color="auto"/>
              <w:right w:val="nil"/>
            </w:tcBorders>
          </w:tcPr>
          <w:p w14:paraId="347B2F7D"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-0.13</w:t>
            </w:r>
          </w:p>
        </w:tc>
        <w:tc>
          <w:tcPr>
            <w:tcW w:w="587" w:type="dxa"/>
            <w:tcBorders>
              <w:top w:val="nil"/>
              <w:left w:val="nil"/>
              <w:bottom w:val="single" w:sz="4" w:space="0" w:color="auto"/>
              <w:right w:val="nil"/>
            </w:tcBorders>
          </w:tcPr>
          <w:p w14:paraId="74D99EBB"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0.40</w:t>
            </w:r>
          </w:p>
        </w:tc>
        <w:tc>
          <w:tcPr>
            <w:tcW w:w="575" w:type="dxa"/>
            <w:tcBorders>
              <w:top w:val="nil"/>
              <w:left w:val="nil"/>
              <w:bottom w:val="single" w:sz="4" w:space="0" w:color="auto"/>
              <w:right w:val="nil"/>
            </w:tcBorders>
          </w:tcPr>
          <w:p w14:paraId="5BAB6158" w14:textId="77777777" w:rsidR="00297F65" w:rsidRPr="008A3CBE" w:rsidRDefault="00297F65"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A3CBE">
              <w:rPr>
                <w:rFonts w:asciiTheme="majorBidi" w:hAnsiTheme="majorBidi" w:cstheme="majorBidi"/>
                <w:sz w:val="20"/>
                <w:szCs w:val="20"/>
              </w:rPr>
              <w:t>1</w:t>
            </w:r>
          </w:p>
        </w:tc>
      </w:tr>
    </w:tbl>
    <w:p w14:paraId="109786A3" w14:textId="77777777" w:rsidR="00297F65" w:rsidRPr="00341756" w:rsidRDefault="00297F65" w:rsidP="008A3CBE">
      <w:pPr>
        <w:jc w:val="both"/>
        <w:rPr>
          <w:rFonts w:asciiTheme="majorBidi" w:hAnsiTheme="majorBidi" w:cstheme="majorBidi"/>
          <w:sz w:val="24"/>
          <w:szCs w:val="24"/>
        </w:rPr>
      </w:pPr>
      <w:bookmarkStart w:id="1" w:name="_GoBack"/>
      <w:bookmarkEnd w:id="1"/>
    </w:p>
    <w:p w14:paraId="32B5352B" w14:textId="5FD27A3E" w:rsidR="002954F1" w:rsidRPr="00341756" w:rsidRDefault="00DE6D90" w:rsidP="00CF4A0E">
      <w:pPr>
        <w:jc w:val="both"/>
        <w:rPr>
          <w:rFonts w:asciiTheme="majorBidi" w:hAnsiTheme="majorBidi" w:cstheme="majorBidi"/>
          <w:sz w:val="24"/>
          <w:szCs w:val="24"/>
          <w:lang w:bidi="fa-IR"/>
        </w:rPr>
      </w:pPr>
      <w:r w:rsidRPr="00BC35D5">
        <w:rPr>
          <w:rFonts w:asciiTheme="majorBidi" w:hAnsiTheme="majorBidi" w:cstheme="majorBidi"/>
          <w:sz w:val="24"/>
          <w:szCs w:val="24"/>
          <w:highlight w:val="yellow"/>
          <w:lang w:bidi="fa-IR"/>
        </w:rPr>
        <w:t xml:space="preserve">Table 3 assesses </w:t>
      </w:r>
      <w:proofErr w:type="spellStart"/>
      <w:r w:rsidRPr="00BC35D5">
        <w:rPr>
          <w:rFonts w:asciiTheme="majorBidi" w:hAnsiTheme="majorBidi" w:cstheme="majorBidi"/>
          <w:sz w:val="24"/>
          <w:szCs w:val="24"/>
          <w:highlight w:val="yellow"/>
          <w:lang w:bidi="fa-IR"/>
        </w:rPr>
        <w:t>multicollinearity</w:t>
      </w:r>
      <w:proofErr w:type="spellEnd"/>
      <w:r w:rsidRPr="00BC35D5">
        <w:rPr>
          <w:rFonts w:asciiTheme="majorBidi" w:hAnsiTheme="majorBidi" w:cstheme="majorBidi"/>
          <w:sz w:val="24"/>
          <w:szCs w:val="24"/>
          <w:highlight w:val="yellow"/>
          <w:lang w:bidi="fa-IR"/>
        </w:rPr>
        <w:t xml:space="preserve"> </w:t>
      </w:r>
      <w:r w:rsidR="00CF4A0E" w:rsidRPr="00BC35D5">
        <w:rPr>
          <w:rFonts w:asciiTheme="majorBidi" w:hAnsiTheme="majorBidi" w:cstheme="majorBidi"/>
          <w:sz w:val="24"/>
          <w:szCs w:val="24"/>
          <w:highlight w:val="yellow"/>
          <w:lang w:bidi="fa-IR"/>
        </w:rPr>
        <w:t xml:space="preserve">severity via </w:t>
      </w:r>
      <w:r w:rsidRPr="00BC35D5">
        <w:rPr>
          <w:rFonts w:asciiTheme="majorBidi" w:hAnsiTheme="majorBidi" w:cstheme="majorBidi"/>
          <w:sz w:val="24"/>
          <w:szCs w:val="24"/>
          <w:highlight w:val="yellow"/>
          <w:lang w:bidi="fa-IR"/>
        </w:rPr>
        <w:t>Variance Inflation Factor (VIF). As indicated</w:t>
      </w:r>
      <w:r w:rsidR="00DD5B62" w:rsidRPr="00BC35D5">
        <w:rPr>
          <w:rFonts w:asciiTheme="majorBidi" w:hAnsiTheme="majorBidi" w:cstheme="majorBidi"/>
          <w:sz w:val="24"/>
          <w:szCs w:val="24"/>
          <w:highlight w:val="yellow"/>
          <w:lang w:bidi="fa-IR"/>
        </w:rPr>
        <w:t>,</w:t>
      </w:r>
      <w:r w:rsidRPr="00BC35D5">
        <w:rPr>
          <w:rFonts w:asciiTheme="majorBidi" w:hAnsiTheme="majorBidi" w:cstheme="majorBidi"/>
          <w:sz w:val="24"/>
          <w:szCs w:val="24"/>
          <w:highlight w:val="yellow"/>
          <w:lang w:bidi="fa-IR"/>
        </w:rPr>
        <w:t xml:space="preserve"> the value of </w:t>
      </w:r>
      <w:r w:rsidR="003869D2" w:rsidRPr="00BC35D5">
        <w:rPr>
          <w:rFonts w:asciiTheme="majorBidi" w:hAnsiTheme="majorBidi" w:cstheme="majorBidi"/>
          <w:sz w:val="24"/>
          <w:szCs w:val="24"/>
          <w:highlight w:val="yellow"/>
          <w:lang w:bidi="fa-IR"/>
        </w:rPr>
        <w:t xml:space="preserve">the </w:t>
      </w:r>
      <w:r w:rsidRPr="00BC35D5">
        <w:rPr>
          <w:rFonts w:asciiTheme="majorBidi" w:hAnsiTheme="majorBidi" w:cstheme="majorBidi"/>
          <w:sz w:val="24"/>
          <w:szCs w:val="24"/>
          <w:highlight w:val="yellow"/>
          <w:lang w:bidi="fa-IR"/>
        </w:rPr>
        <w:t xml:space="preserve">mean VIF is lower than 10. </w:t>
      </w:r>
      <w:r w:rsidR="00643743" w:rsidRPr="00BC35D5">
        <w:rPr>
          <w:rFonts w:asciiTheme="majorBidi" w:hAnsiTheme="majorBidi" w:cstheme="majorBidi"/>
          <w:sz w:val="24"/>
          <w:szCs w:val="24"/>
          <w:highlight w:val="yellow"/>
          <w:lang w:bidi="fa-IR"/>
        </w:rPr>
        <w:t>The individual value of VIF for each independent variable is lower than 10, and 1/VIF is greater than 0.</w:t>
      </w:r>
      <w:proofErr w:type="gramStart"/>
      <w:r w:rsidR="00643743" w:rsidRPr="00BC35D5">
        <w:rPr>
          <w:rFonts w:asciiTheme="majorBidi" w:hAnsiTheme="majorBidi" w:cstheme="majorBidi"/>
          <w:sz w:val="24"/>
          <w:szCs w:val="24"/>
          <w:highlight w:val="yellow"/>
          <w:lang w:bidi="fa-IR"/>
        </w:rPr>
        <w:t>10.</w:t>
      </w:r>
      <w:r w:rsidRPr="00BC35D5">
        <w:rPr>
          <w:rFonts w:asciiTheme="majorBidi" w:hAnsiTheme="majorBidi" w:cstheme="majorBidi"/>
          <w:sz w:val="24"/>
          <w:szCs w:val="24"/>
          <w:highlight w:val="yellow"/>
          <w:lang w:bidi="fa-IR"/>
        </w:rPr>
        <w:t>So</w:t>
      </w:r>
      <w:proofErr w:type="gramEnd"/>
      <w:r w:rsidRPr="00BC35D5">
        <w:rPr>
          <w:rFonts w:asciiTheme="majorBidi" w:hAnsiTheme="majorBidi" w:cstheme="majorBidi"/>
          <w:sz w:val="24"/>
          <w:szCs w:val="24"/>
          <w:highlight w:val="yellow"/>
          <w:lang w:bidi="fa-IR"/>
        </w:rPr>
        <w:t xml:space="preserve">, there is no evidence for the existence of </w:t>
      </w:r>
      <w:r w:rsidR="002F2BBE" w:rsidRPr="00BC35D5">
        <w:rPr>
          <w:rFonts w:asciiTheme="majorBidi" w:hAnsiTheme="majorBidi" w:cstheme="majorBidi"/>
          <w:sz w:val="24"/>
          <w:szCs w:val="24"/>
          <w:highlight w:val="yellow"/>
          <w:lang w:bidi="fa-IR"/>
        </w:rPr>
        <w:t xml:space="preserve">a </w:t>
      </w:r>
      <w:proofErr w:type="spellStart"/>
      <w:r w:rsidR="002F2BBE" w:rsidRPr="00BC35D5">
        <w:rPr>
          <w:rFonts w:asciiTheme="majorBidi" w:hAnsiTheme="majorBidi" w:cstheme="majorBidi"/>
          <w:sz w:val="24"/>
          <w:szCs w:val="24"/>
          <w:highlight w:val="yellow"/>
          <w:lang w:bidi="fa-IR"/>
        </w:rPr>
        <w:t>multicollinearity</w:t>
      </w:r>
      <w:proofErr w:type="spellEnd"/>
      <w:r w:rsidR="002F2BBE" w:rsidRPr="00BC35D5">
        <w:rPr>
          <w:rFonts w:asciiTheme="majorBidi" w:hAnsiTheme="majorBidi" w:cstheme="majorBidi"/>
          <w:sz w:val="24"/>
          <w:szCs w:val="24"/>
          <w:highlight w:val="yellow"/>
          <w:lang w:bidi="fa-IR"/>
        </w:rPr>
        <w:t xml:space="preserve"> </w:t>
      </w:r>
      <w:r w:rsidRPr="00BC35D5">
        <w:rPr>
          <w:rFonts w:asciiTheme="majorBidi" w:hAnsiTheme="majorBidi" w:cstheme="majorBidi"/>
          <w:sz w:val="24"/>
          <w:szCs w:val="24"/>
          <w:highlight w:val="yellow"/>
          <w:lang w:bidi="fa-IR"/>
        </w:rPr>
        <w:t>problem in the data set.</w:t>
      </w:r>
    </w:p>
    <w:p w14:paraId="27CA7758" w14:textId="4E936FDC" w:rsidR="00DE6D90" w:rsidRPr="00341756" w:rsidRDefault="00DE6D90" w:rsidP="00DE6D90">
      <w:pPr>
        <w:jc w:val="center"/>
        <w:rPr>
          <w:rFonts w:asciiTheme="majorBidi" w:hAnsiTheme="majorBidi" w:cstheme="majorBidi"/>
          <w:sz w:val="24"/>
          <w:szCs w:val="24"/>
        </w:rPr>
      </w:pPr>
      <w:r w:rsidRPr="00341756">
        <w:rPr>
          <w:rFonts w:asciiTheme="majorBidi" w:hAnsiTheme="majorBidi" w:cstheme="majorBidi"/>
          <w:sz w:val="24"/>
          <w:szCs w:val="24"/>
        </w:rPr>
        <w:t>Table 3</w:t>
      </w:r>
    </w:p>
    <w:p w14:paraId="47D7BE26" w14:textId="1CC154A9" w:rsidR="00DE6D90" w:rsidRDefault="00DE6D90" w:rsidP="00DE6D90">
      <w:pPr>
        <w:jc w:val="center"/>
        <w:rPr>
          <w:rFonts w:asciiTheme="majorBidi" w:hAnsiTheme="majorBidi" w:cstheme="majorBidi"/>
          <w:sz w:val="24"/>
          <w:szCs w:val="24"/>
          <w:lang w:bidi="fa-IR"/>
        </w:rPr>
      </w:pPr>
      <w:proofErr w:type="spellStart"/>
      <w:r w:rsidRPr="00341756">
        <w:rPr>
          <w:rFonts w:asciiTheme="majorBidi" w:hAnsiTheme="majorBidi" w:cstheme="majorBidi"/>
          <w:sz w:val="24"/>
          <w:szCs w:val="24"/>
          <w:lang w:bidi="fa-IR"/>
        </w:rPr>
        <w:lastRenderedPageBreak/>
        <w:t>Multicollinearity</w:t>
      </w:r>
      <w:proofErr w:type="spellEnd"/>
      <w:r w:rsidRPr="00341756">
        <w:rPr>
          <w:rFonts w:asciiTheme="majorBidi" w:hAnsiTheme="majorBidi" w:cstheme="majorBidi"/>
          <w:sz w:val="24"/>
          <w:szCs w:val="24"/>
          <w:lang w:bidi="fa-IR"/>
        </w:rPr>
        <w:t xml:space="preserve"> Test</w:t>
      </w:r>
    </w:p>
    <w:tbl>
      <w:tblPr>
        <w:tblStyle w:val="TableGrid"/>
        <w:tblW w:w="0" w:type="auto"/>
        <w:tblLook w:val="04A0" w:firstRow="1" w:lastRow="0" w:firstColumn="1" w:lastColumn="0" w:noHBand="0" w:noVBand="1"/>
      </w:tblPr>
      <w:tblGrid>
        <w:gridCol w:w="3116"/>
        <w:gridCol w:w="3117"/>
        <w:gridCol w:w="3117"/>
      </w:tblGrid>
      <w:tr w:rsidR="006E4B3F" w:rsidRPr="007322AA" w14:paraId="5F2FC6B6" w14:textId="77777777" w:rsidTr="008C53F0">
        <w:tc>
          <w:tcPr>
            <w:tcW w:w="3116" w:type="dxa"/>
          </w:tcPr>
          <w:p w14:paraId="1BFB6D49"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b/>
                <w:bCs/>
                <w:sz w:val="24"/>
                <w:szCs w:val="24"/>
                <w:highlight w:val="yellow"/>
                <w:lang w:bidi="fa-IR"/>
              </w:rPr>
            </w:pPr>
            <w:r w:rsidRPr="007322AA">
              <w:rPr>
                <w:rFonts w:asciiTheme="majorBidi" w:hAnsiTheme="majorBidi" w:cstheme="majorBidi"/>
                <w:b/>
                <w:bCs/>
                <w:sz w:val="24"/>
                <w:szCs w:val="24"/>
                <w:highlight w:val="yellow"/>
                <w:lang w:bidi="fa-IR"/>
              </w:rPr>
              <w:t>Variable</w:t>
            </w:r>
          </w:p>
        </w:tc>
        <w:tc>
          <w:tcPr>
            <w:tcW w:w="3117" w:type="dxa"/>
          </w:tcPr>
          <w:p w14:paraId="179C3B33"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b/>
                <w:bCs/>
                <w:sz w:val="24"/>
                <w:szCs w:val="24"/>
                <w:highlight w:val="yellow"/>
                <w:lang w:bidi="fa-IR"/>
              </w:rPr>
            </w:pPr>
            <w:r w:rsidRPr="007322AA">
              <w:rPr>
                <w:rFonts w:asciiTheme="majorBidi" w:hAnsiTheme="majorBidi" w:cstheme="majorBidi"/>
                <w:b/>
                <w:bCs/>
                <w:sz w:val="24"/>
                <w:szCs w:val="24"/>
                <w:highlight w:val="yellow"/>
                <w:lang w:bidi="fa-IR"/>
              </w:rPr>
              <w:t>VIF</w:t>
            </w:r>
          </w:p>
        </w:tc>
        <w:tc>
          <w:tcPr>
            <w:tcW w:w="3117" w:type="dxa"/>
          </w:tcPr>
          <w:p w14:paraId="5F97D769"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b/>
                <w:bCs/>
                <w:sz w:val="24"/>
                <w:szCs w:val="24"/>
                <w:highlight w:val="yellow"/>
                <w:lang w:bidi="fa-IR"/>
              </w:rPr>
            </w:pPr>
            <w:r w:rsidRPr="007322AA">
              <w:rPr>
                <w:rFonts w:asciiTheme="majorBidi" w:hAnsiTheme="majorBidi" w:cstheme="majorBidi"/>
                <w:b/>
                <w:bCs/>
                <w:sz w:val="24"/>
                <w:szCs w:val="24"/>
                <w:highlight w:val="yellow"/>
                <w:lang w:bidi="fa-IR"/>
              </w:rPr>
              <w:t>1/VIF</w:t>
            </w:r>
          </w:p>
        </w:tc>
      </w:tr>
      <w:tr w:rsidR="006E4B3F" w:rsidRPr="007322AA" w14:paraId="462D2971" w14:textId="77777777" w:rsidTr="008C53F0">
        <w:tc>
          <w:tcPr>
            <w:tcW w:w="3116" w:type="dxa"/>
          </w:tcPr>
          <w:p w14:paraId="46E71FB7"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CTA</w:t>
            </w:r>
          </w:p>
        </w:tc>
        <w:tc>
          <w:tcPr>
            <w:tcW w:w="3117" w:type="dxa"/>
          </w:tcPr>
          <w:p w14:paraId="2BB88307"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1.02</w:t>
            </w:r>
          </w:p>
        </w:tc>
        <w:tc>
          <w:tcPr>
            <w:tcW w:w="3117" w:type="dxa"/>
          </w:tcPr>
          <w:p w14:paraId="60876B53"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0.9803</w:t>
            </w:r>
          </w:p>
        </w:tc>
      </w:tr>
      <w:tr w:rsidR="006E4B3F" w:rsidRPr="007322AA" w14:paraId="2D360448" w14:textId="77777777" w:rsidTr="008C53F0">
        <w:tc>
          <w:tcPr>
            <w:tcW w:w="3116" w:type="dxa"/>
          </w:tcPr>
          <w:p w14:paraId="4D9BA92B"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MU</w:t>
            </w:r>
          </w:p>
        </w:tc>
        <w:tc>
          <w:tcPr>
            <w:tcW w:w="3117" w:type="dxa"/>
          </w:tcPr>
          <w:p w14:paraId="67B5BDA5"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1.59</w:t>
            </w:r>
          </w:p>
        </w:tc>
        <w:tc>
          <w:tcPr>
            <w:tcW w:w="3117" w:type="dxa"/>
          </w:tcPr>
          <w:p w14:paraId="423959C7"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0.6289</w:t>
            </w:r>
          </w:p>
        </w:tc>
      </w:tr>
      <w:tr w:rsidR="006E4B3F" w:rsidRPr="007322AA" w14:paraId="3F833EF4" w14:textId="77777777" w:rsidTr="008C53F0">
        <w:tc>
          <w:tcPr>
            <w:tcW w:w="3116" w:type="dxa"/>
          </w:tcPr>
          <w:p w14:paraId="0C4F0198"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GOV</w:t>
            </w:r>
          </w:p>
        </w:tc>
        <w:tc>
          <w:tcPr>
            <w:tcW w:w="3117" w:type="dxa"/>
          </w:tcPr>
          <w:p w14:paraId="4DFCE9FA"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1.83</w:t>
            </w:r>
          </w:p>
        </w:tc>
        <w:tc>
          <w:tcPr>
            <w:tcW w:w="3117" w:type="dxa"/>
          </w:tcPr>
          <w:p w14:paraId="7AA8F9C7"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0.5464</w:t>
            </w:r>
          </w:p>
        </w:tc>
      </w:tr>
      <w:tr w:rsidR="006E4B3F" w:rsidRPr="007322AA" w14:paraId="73522E84" w14:textId="77777777" w:rsidTr="008C53F0">
        <w:tc>
          <w:tcPr>
            <w:tcW w:w="3116" w:type="dxa"/>
          </w:tcPr>
          <w:p w14:paraId="2912F3A1"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IND</w:t>
            </w:r>
          </w:p>
        </w:tc>
        <w:tc>
          <w:tcPr>
            <w:tcW w:w="3117" w:type="dxa"/>
          </w:tcPr>
          <w:p w14:paraId="57192AEC"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1.47</w:t>
            </w:r>
          </w:p>
        </w:tc>
        <w:tc>
          <w:tcPr>
            <w:tcW w:w="3117" w:type="dxa"/>
          </w:tcPr>
          <w:p w14:paraId="7B908BDA"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0.6802</w:t>
            </w:r>
          </w:p>
        </w:tc>
      </w:tr>
      <w:tr w:rsidR="006E4B3F" w:rsidRPr="007322AA" w14:paraId="46A54590" w14:textId="77777777" w:rsidTr="008C53F0">
        <w:tc>
          <w:tcPr>
            <w:tcW w:w="3116" w:type="dxa"/>
          </w:tcPr>
          <w:p w14:paraId="32CF75C4"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Duality</w:t>
            </w:r>
          </w:p>
        </w:tc>
        <w:tc>
          <w:tcPr>
            <w:tcW w:w="3117" w:type="dxa"/>
          </w:tcPr>
          <w:p w14:paraId="5BE5A4C3"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1.14</w:t>
            </w:r>
          </w:p>
        </w:tc>
        <w:tc>
          <w:tcPr>
            <w:tcW w:w="3117" w:type="dxa"/>
          </w:tcPr>
          <w:p w14:paraId="13EEAE66"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0.8771</w:t>
            </w:r>
          </w:p>
        </w:tc>
      </w:tr>
      <w:tr w:rsidR="006E4B3F" w:rsidRPr="007322AA" w14:paraId="2D1CF775" w14:textId="77777777" w:rsidTr="008C53F0">
        <w:tc>
          <w:tcPr>
            <w:tcW w:w="3116" w:type="dxa"/>
          </w:tcPr>
          <w:p w14:paraId="4D6A7C3B"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Size</w:t>
            </w:r>
          </w:p>
        </w:tc>
        <w:tc>
          <w:tcPr>
            <w:tcW w:w="3117" w:type="dxa"/>
          </w:tcPr>
          <w:p w14:paraId="092CB1E3"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1.32</w:t>
            </w:r>
          </w:p>
        </w:tc>
        <w:tc>
          <w:tcPr>
            <w:tcW w:w="3117" w:type="dxa"/>
          </w:tcPr>
          <w:p w14:paraId="12B10BC3"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0.7575</w:t>
            </w:r>
          </w:p>
        </w:tc>
      </w:tr>
      <w:tr w:rsidR="006E4B3F" w:rsidRPr="007322AA" w14:paraId="74064C9A" w14:textId="77777777" w:rsidTr="008C53F0">
        <w:tc>
          <w:tcPr>
            <w:tcW w:w="3116" w:type="dxa"/>
          </w:tcPr>
          <w:p w14:paraId="4B4DFF25"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ROA</w:t>
            </w:r>
          </w:p>
        </w:tc>
        <w:tc>
          <w:tcPr>
            <w:tcW w:w="3117" w:type="dxa"/>
          </w:tcPr>
          <w:p w14:paraId="0A421EC3"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1.66</w:t>
            </w:r>
          </w:p>
        </w:tc>
        <w:tc>
          <w:tcPr>
            <w:tcW w:w="3117" w:type="dxa"/>
          </w:tcPr>
          <w:p w14:paraId="25A2DD08"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0.6024</w:t>
            </w:r>
          </w:p>
        </w:tc>
      </w:tr>
      <w:tr w:rsidR="006E4B3F" w:rsidRPr="007322AA" w14:paraId="3CB9859D" w14:textId="77777777" w:rsidTr="008C53F0">
        <w:tc>
          <w:tcPr>
            <w:tcW w:w="3116" w:type="dxa"/>
          </w:tcPr>
          <w:p w14:paraId="30B5A1D6"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LEV</w:t>
            </w:r>
          </w:p>
        </w:tc>
        <w:tc>
          <w:tcPr>
            <w:tcW w:w="3117" w:type="dxa"/>
          </w:tcPr>
          <w:p w14:paraId="430E6C2E"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1.24</w:t>
            </w:r>
          </w:p>
        </w:tc>
        <w:tc>
          <w:tcPr>
            <w:tcW w:w="3117" w:type="dxa"/>
          </w:tcPr>
          <w:p w14:paraId="1B58E798"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0.8064</w:t>
            </w:r>
          </w:p>
        </w:tc>
      </w:tr>
      <w:tr w:rsidR="006E4B3F" w:rsidRPr="007322AA" w14:paraId="12815637" w14:textId="77777777" w:rsidTr="008C53F0">
        <w:tc>
          <w:tcPr>
            <w:tcW w:w="3116" w:type="dxa"/>
          </w:tcPr>
          <w:p w14:paraId="3447B83E"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0"/>
                <w:szCs w:val="20"/>
                <w:highlight w:val="yellow"/>
              </w:rPr>
              <w:t>MTB</w:t>
            </w:r>
          </w:p>
        </w:tc>
        <w:tc>
          <w:tcPr>
            <w:tcW w:w="3117" w:type="dxa"/>
          </w:tcPr>
          <w:p w14:paraId="3E74050E"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1.18</w:t>
            </w:r>
          </w:p>
        </w:tc>
        <w:tc>
          <w:tcPr>
            <w:tcW w:w="3117" w:type="dxa"/>
          </w:tcPr>
          <w:p w14:paraId="03F2BE76"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0.8474</w:t>
            </w:r>
          </w:p>
        </w:tc>
      </w:tr>
      <w:tr w:rsidR="006E4B3F" w:rsidRPr="007322AA" w14:paraId="7FEA4F3E" w14:textId="77777777" w:rsidTr="008C53F0">
        <w:tc>
          <w:tcPr>
            <w:tcW w:w="3116" w:type="dxa"/>
          </w:tcPr>
          <w:p w14:paraId="06D528F1"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7322AA">
              <w:rPr>
                <w:rFonts w:asciiTheme="majorBidi" w:hAnsiTheme="majorBidi" w:cstheme="majorBidi"/>
                <w:sz w:val="20"/>
                <w:szCs w:val="20"/>
                <w:highlight w:val="yellow"/>
              </w:rPr>
              <w:t>FDISTER</w:t>
            </w:r>
          </w:p>
        </w:tc>
        <w:tc>
          <w:tcPr>
            <w:tcW w:w="3117" w:type="dxa"/>
          </w:tcPr>
          <w:p w14:paraId="3A90586E"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1.07</w:t>
            </w:r>
          </w:p>
        </w:tc>
        <w:tc>
          <w:tcPr>
            <w:tcW w:w="3117" w:type="dxa"/>
          </w:tcPr>
          <w:p w14:paraId="4E9D3440"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0.9345</w:t>
            </w:r>
          </w:p>
        </w:tc>
      </w:tr>
      <w:tr w:rsidR="006E4B3F" w:rsidRPr="007322AA" w14:paraId="283E68B2" w14:textId="77777777" w:rsidTr="008C53F0">
        <w:tc>
          <w:tcPr>
            <w:tcW w:w="3116" w:type="dxa"/>
          </w:tcPr>
          <w:p w14:paraId="5AEEEF1D"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proofErr w:type="spellStart"/>
            <w:r w:rsidRPr="007322AA">
              <w:rPr>
                <w:rFonts w:asciiTheme="majorBidi" w:hAnsiTheme="majorBidi" w:cstheme="majorBidi"/>
                <w:sz w:val="20"/>
                <w:szCs w:val="20"/>
                <w:highlight w:val="yellow"/>
              </w:rPr>
              <w:t>Intan</w:t>
            </w:r>
            <w:proofErr w:type="spellEnd"/>
          </w:p>
        </w:tc>
        <w:tc>
          <w:tcPr>
            <w:tcW w:w="3117" w:type="dxa"/>
          </w:tcPr>
          <w:p w14:paraId="1B581377"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1.52</w:t>
            </w:r>
          </w:p>
        </w:tc>
        <w:tc>
          <w:tcPr>
            <w:tcW w:w="3117" w:type="dxa"/>
          </w:tcPr>
          <w:p w14:paraId="1CEF6D3C"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0.6578</w:t>
            </w:r>
          </w:p>
        </w:tc>
      </w:tr>
      <w:tr w:rsidR="006E4B3F" w:rsidRPr="007322AA" w14:paraId="09E98B88" w14:textId="77777777" w:rsidTr="008C53F0">
        <w:tc>
          <w:tcPr>
            <w:tcW w:w="3116" w:type="dxa"/>
          </w:tcPr>
          <w:p w14:paraId="7D433C98"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7322AA">
              <w:rPr>
                <w:rFonts w:asciiTheme="majorBidi" w:hAnsiTheme="majorBidi" w:cstheme="majorBidi"/>
                <w:sz w:val="20"/>
                <w:szCs w:val="20"/>
                <w:highlight w:val="yellow"/>
              </w:rPr>
              <w:t>BIG</w:t>
            </w:r>
          </w:p>
        </w:tc>
        <w:tc>
          <w:tcPr>
            <w:tcW w:w="3117" w:type="dxa"/>
          </w:tcPr>
          <w:p w14:paraId="17787B72"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1.31</w:t>
            </w:r>
          </w:p>
        </w:tc>
        <w:tc>
          <w:tcPr>
            <w:tcW w:w="3117" w:type="dxa"/>
          </w:tcPr>
          <w:p w14:paraId="0424915F"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0.7633</w:t>
            </w:r>
          </w:p>
        </w:tc>
      </w:tr>
      <w:tr w:rsidR="006E4B3F" w14:paraId="4A74F54C" w14:textId="77777777" w:rsidTr="008C53F0">
        <w:tc>
          <w:tcPr>
            <w:tcW w:w="3116" w:type="dxa"/>
          </w:tcPr>
          <w:p w14:paraId="5F9AA5B7" w14:textId="77777777" w:rsidR="006E4B3F" w:rsidRPr="007322AA"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4"/>
                <w:szCs w:val="24"/>
                <w:highlight w:val="yellow"/>
                <w:lang w:bidi="fa-IR"/>
              </w:rPr>
            </w:pPr>
            <w:r w:rsidRPr="007322AA">
              <w:rPr>
                <w:rFonts w:asciiTheme="majorBidi" w:hAnsiTheme="majorBidi" w:cstheme="majorBidi"/>
                <w:sz w:val="24"/>
                <w:szCs w:val="24"/>
                <w:highlight w:val="yellow"/>
                <w:lang w:bidi="fa-IR"/>
              </w:rPr>
              <w:t>Mean VIF</w:t>
            </w:r>
          </w:p>
        </w:tc>
        <w:tc>
          <w:tcPr>
            <w:tcW w:w="6234" w:type="dxa"/>
            <w:gridSpan w:val="2"/>
          </w:tcPr>
          <w:p w14:paraId="4AD437FE" w14:textId="77777777" w:rsidR="006E4B3F" w:rsidRDefault="006E4B3F" w:rsidP="008C53F0">
            <w:pPr>
              <w:pBdr>
                <w:top w:val="none" w:sz="0" w:space="0" w:color="auto"/>
                <w:left w:val="none" w:sz="0" w:space="0" w:color="auto"/>
                <w:bottom w:val="none" w:sz="0" w:space="0" w:color="auto"/>
                <w:right w:val="none" w:sz="0" w:space="0" w:color="auto"/>
                <w:between w:val="none" w:sz="0" w:space="0" w:color="auto"/>
              </w:pBdr>
              <w:rPr>
                <w:rFonts w:asciiTheme="majorBidi" w:hAnsiTheme="majorBidi" w:cstheme="majorBidi"/>
                <w:sz w:val="24"/>
                <w:szCs w:val="24"/>
                <w:lang w:bidi="fa-IR"/>
              </w:rPr>
            </w:pPr>
            <w:r w:rsidRPr="007322AA">
              <w:rPr>
                <w:rFonts w:asciiTheme="majorBidi" w:hAnsiTheme="majorBidi" w:cstheme="majorBidi"/>
                <w:sz w:val="24"/>
                <w:szCs w:val="24"/>
                <w:highlight w:val="yellow"/>
                <w:lang w:bidi="fa-IR"/>
              </w:rPr>
              <w:t xml:space="preserve">                     1.36</w:t>
            </w:r>
          </w:p>
        </w:tc>
      </w:tr>
    </w:tbl>
    <w:p w14:paraId="3FD9A77E" w14:textId="77777777" w:rsidR="006E4B3F" w:rsidRPr="00341756" w:rsidRDefault="006E4B3F" w:rsidP="00DE6D90">
      <w:pPr>
        <w:jc w:val="center"/>
        <w:rPr>
          <w:rFonts w:asciiTheme="majorBidi" w:hAnsiTheme="majorBidi" w:cstheme="majorBidi"/>
          <w:sz w:val="24"/>
          <w:szCs w:val="24"/>
          <w:lang w:bidi="fa-IR"/>
        </w:rPr>
      </w:pPr>
    </w:p>
    <w:p w14:paraId="21E0B1A7" w14:textId="77777777" w:rsidR="00DE6D90" w:rsidRPr="00341756" w:rsidRDefault="00DE6D90" w:rsidP="00DE6D90">
      <w:pPr>
        <w:jc w:val="center"/>
        <w:rPr>
          <w:rFonts w:asciiTheme="majorBidi" w:hAnsiTheme="majorBidi" w:cstheme="majorBidi"/>
          <w:sz w:val="24"/>
          <w:szCs w:val="24"/>
          <w:rtl/>
          <w:lang w:bidi="fa-IR"/>
        </w:rPr>
      </w:pPr>
    </w:p>
    <w:p w14:paraId="5A2FDFE2" w14:textId="57E34B27" w:rsidR="00292868" w:rsidRPr="00341756" w:rsidRDefault="00292868" w:rsidP="007D21BB">
      <w:pPr>
        <w:jc w:val="both"/>
        <w:rPr>
          <w:rFonts w:asciiTheme="majorBidi" w:hAnsiTheme="majorBidi" w:cstheme="majorBidi"/>
          <w:b/>
          <w:bCs/>
          <w:sz w:val="24"/>
          <w:szCs w:val="24"/>
        </w:rPr>
      </w:pPr>
      <w:r w:rsidRPr="00341756">
        <w:rPr>
          <w:rFonts w:asciiTheme="majorBidi" w:hAnsiTheme="majorBidi" w:cstheme="majorBidi"/>
          <w:b/>
          <w:bCs/>
          <w:sz w:val="24"/>
          <w:szCs w:val="24"/>
        </w:rPr>
        <w:t xml:space="preserve">4.2 </w:t>
      </w:r>
      <w:r w:rsidR="00054406" w:rsidRPr="00341756">
        <w:rPr>
          <w:rFonts w:asciiTheme="majorBidi" w:hAnsiTheme="majorBidi" w:cstheme="majorBidi"/>
          <w:b/>
          <w:bCs/>
          <w:sz w:val="24"/>
          <w:szCs w:val="24"/>
        </w:rPr>
        <w:t>Regression results:</w:t>
      </w:r>
    </w:p>
    <w:p w14:paraId="4C8AE8E6" w14:textId="5C6465B9" w:rsidR="00FC43DE" w:rsidRPr="00BD17D7" w:rsidRDefault="00FC43DE" w:rsidP="00B505DE">
      <w:pPr>
        <w:jc w:val="both"/>
        <w:rPr>
          <w:rFonts w:asciiTheme="majorBidi" w:hAnsiTheme="majorBidi" w:cstheme="majorBidi"/>
          <w:color w:val="000000" w:themeColor="text1"/>
          <w:sz w:val="24"/>
          <w:szCs w:val="24"/>
          <w:highlight w:val="yellow"/>
        </w:rPr>
      </w:pPr>
      <w:r w:rsidRPr="00BD17D7">
        <w:rPr>
          <w:rFonts w:asciiTheme="majorBidi" w:hAnsiTheme="majorBidi" w:cstheme="majorBidi"/>
          <w:color w:val="000000" w:themeColor="text1"/>
          <w:sz w:val="24"/>
          <w:szCs w:val="24"/>
          <w:highlight w:val="yellow"/>
        </w:rPr>
        <w:t xml:space="preserve">Table </w:t>
      </w:r>
      <w:r w:rsidR="0016661D" w:rsidRPr="00BD17D7">
        <w:rPr>
          <w:rFonts w:asciiTheme="majorBidi" w:hAnsiTheme="majorBidi" w:cstheme="majorBidi"/>
          <w:color w:val="000000" w:themeColor="text1"/>
          <w:sz w:val="24"/>
          <w:szCs w:val="24"/>
          <w:highlight w:val="yellow"/>
        </w:rPr>
        <w:t>4</w:t>
      </w:r>
      <w:r w:rsidRPr="00BD17D7">
        <w:rPr>
          <w:rFonts w:asciiTheme="majorBidi" w:hAnsiTheme="majorBidi" w:cstheme="majorBidi"/>
          <w:color w:val="000000" w:themeColor="text1"/>
          <w:sz w:val="24"/>
          <w:szCs w:val="24"/>
          <w:highlight w:val="yellow"/>
        </w:rPr>
        <w:t xml:space="preserve"> presents the results for our first tested hypothesis. Based on the results, it can be concluded that tax avoidance </w:t>
      </w:r>
      <w:r w:rsidR="00B505DE" w:rsidRPr="00BD17D7">
        <w:rPr>
          <w:rFonts w:asciiTheme="majorBidi" w:hAnsiTheme="majorBidi" w:cstheme="majorBidi"/>
          <w:color w:val="000000" w:themeColor="text1"/>
          <w:sz w:val="24"/>
          <w:szCs w:val="24"/>
          <w:highlight w:val="yellow"/>
        </w:rPr>
        <w:t xml:space="preserve">positively </w:t>
      </w:r>
      <w:r w:rsidRPr="00BD17D7">
        <w:rPr>
          <w:rFonts w:asciiTheme="majorBidi" w:hAnsiTheme="majorBidi" w:cstheme="majorBidi"/>
          <w:color w:val="000000" w:themeColor="text1"/>
          <w:sz w:val="24"/>
          <w:szCs w:val="24"/>
          <w:highlight w:val="yellow"/>
        </w:rPr>
        <w:t>affects the audit</w:t>
      </w:r>
      <w:r w:rsidR="00597779" w:rsidRPr="00BD17D7">
        <w:rPr>
          <w:rFonts w:asciiTheme="majorBidi" w:hAnsiTheme="majorBidi" w:cstheme="majorBidi"/>
          <w:color w:val="000000" w:themeColor="text1"/>
          <w:sz w:val="24"/>
          <w:szCs w:val="24"/>
          <w:highlight w:val="yellow"/>
        </w:rPr>
        <w:t>or's</w:t>
      </w:r>
      <w:r w:rsidRPr="00BD17D7">
        <w:rPr>
          <w:rFonts w:asciiTheme="majorBidi" w:hAnsiTheme="majorBidi" w:cstheme="majorBidi"/>
          <w:color w:val="000000" w:themeColor="text1"/>
          <w:sz w:val="24"/>
          <w:szCs w:val="24"/>
          <w:highlight w:val="yellow"/>
        </w:rPr>
        <w:t xml:space="preserve"> </w:t>
      </w:r>
      <w:r w:rsidR="00597779" w:rsidRPr="00BD17D7">
        <w:rPr>
          <w:rFonts w:asciiTheme="majorBidi" w:hAnsiTheme="majorBidi" w:cstheme="majorBidi"/>
          <w:color w:val="000000" w:themeColor="text1"/>
          <w:sz w:val="24"/>
          <w:szCs w:val="24"/>
          <w:highlight w:val="yellow"/>
        </w:rPr>
        <w:t>opinion</w:t>
      </w:r>
      <w:r w:rsidRPr="00BD17D7">
        <w:rPr>
          <w:rFonts w:asciiTheme="majorBidi" w:hAnsiTheme="majorBidi" w:cstheme="majorBidi"/>
          <w:color w:val="000000" w:themeColor="text1"/>
          <w:sz w:val="24"/>
          <w:szCs w:val="24"/>
          <w:highlight w:val="yellow"/>
        </w:rPr>
        <w:t xml:space="preserve">. The tax avoidance </w:t>
      </w:r>
      <w:r w:rsidR="008D4FA6" w:rsidRPr="00BD17D7">
        <w:rPr>
          <w:rFonts w:asciiTheme="majorBidi" w:hAnsiTheme="majorBidi" w:cstheme="majorBidi"/>
          <w:color w:val="000000" w:themeColor="text1"/>
          <w:sz w:val="24"/>
          <w:szCs w:val="24"/>
          <w:highlight w:val="yellow"/>
        </w:rPr>
        <w:t xml:space="preserve">coefficient </w:t>
      </w:r>
      <w:r w:rsidRPr="00BD17D7">
        <w:rPr>
          <w:rFonts w:asciiTheme="majorBidi" w:hAnsiTheme="majorBidi" w:cstheme="majorBidi"/>
          <w:color w:val="000000" w:themeColor="text1"/>
          <w:sz w:val="24"/>
          <w:szCs w:val="24"/>
          <w:highlight w:val="yellow"/>
        </w:rPr>
        <w:t xml:space="preserve">is </w:t>
      </w:r>
      <w:r w:rsidR="006F43C1" w:rsidRPr="00BD17D7">
        <w:rPr>
          <w:rFonts w:asciiTheme="majorBidi" w:hAnsiTheme="majorBidi" w:cstheme="majorBidi"/>
          <w:color w:val="000000" w:themeColor="text1"/>
          <w:sz w:val="24"/>
          <w:szCs w:val="24"/>
          <w:highlight w:val="yellow"/>
        </w:rPr>
        <w:t>7</w:t>
      </w:r>
      <w:r w:rsidRPr="00BD17D7">
        <w:rPr>
          <w:rFonts w:asciiTheme="majorBidi" w:hAnsiTheme="majorBidi" w:cstheme="majorBidi"/>
          <w:color w:val="000000" w:themeColor="text1"/>
          <w:sz w:val="24"/>
          <w:szCs w:val="24"/>
          <w:highlight w:val="yellow"/>
        </w:rPr>
        <w:t>.</w:t>
      </w:r>
      <w:r w:rsidR="00597779" w:rsidRPr="00BD17D7">
        <w:rPr>
          <w:rFonts w:asciiTheme="majorBidi" w:hAnsiTheme="majorBidi" w:cstheme="majorBidi"/>
          <w:color w:val="000000" w:themeColor="text1"/>
          <w:sz w:val="24"/>
          <w:szCs w:val="24"/>
          <w:highlight w:val="yellow"/>
        </w:rPr>
        <w:t>783</w:t>
      </w:r>
      <w:r w:rsidR="00AC75FF" w:rsidRPr="00BD17D7">
        <w:rPr>
          <w:rFonts w:asciiTheme="majorBidi" w:hAnsiTheme="majorBidi" w:cstheme="majorBidi"/>
          <w:color w:val="000000" w:themeColor="text1"/>
          <w:sz w:val="24"/>
          <w:szCs w:val="24"/>
          <w:highlight w:val="yellow"/>
        </w:rPr>
        <w:t>,</w:t>
      </w:r>
      <w:r w:rsidRPr="00BD17D7">
        <w:rPr>
          <w:rFonts w:asciiTheme="majorBidi" w:hAnsiTheme="majorBidi" w:cstheme="majorBidi"/>
          <w:color w:val="000000" w:themeColor="text1"/>
          <w:sz w:val="24"/>
          <w:szCs w:val="24"/>
          <w:highlight w:val="yellow"/>
        </w:rPr>
        <w:t xml:space="preserve"> and its </w:t>
      </w:r>
      <w:r w:rsidR="00597779" w:rsidRPr="00BD17D7">
        <w:rPr>
          <w:rFonts w:asciiTheme="majorBidi" w:hAnsiTheme="majorBidi" w:cstheme="majorBidi"/>
          <w:color w:val="000000" w:themeColor="text1"/>
          <w:sz w:val="24"/>
          <w:szCs w:val="24"/>
          <w:highlight w:val="yellow"/>
        </w:rPr>
        <w:t>sig is less than 0.05</w:t>
      </w:r>
      <w:r w:rsidR="004C0A7B" w:rsidRPr="00BD17D7">
        <w:rPr>
          <w:rFonts w:asciiTheme="majorBidi" w:hAnsiTheme="majorBidi" w:cstheme="majorBidi"/>
          <w:color w:val="000000" w:themeColor="text1"/>
          <w:sz w:val="24"/>
          <w:szCs w:val="24"/>
          <w:highlight w:val="yellow"/>
        </w:rPr>
        <w:t>; therefore,</w:t>
      </w:r>
      <w:r w:rsidRPr="00BD17D7">
        <w:rPr>
          <w:rFonts w:asciiTheme="majorBidi" w:hAnsiTheme="majorBidi" w:cstheme="majorBidi"/>
          <w:color w:val="000000" w:themeColor="text1"/>
          <w:sz w:val="24"/>
          <w:szCs w:val="24"/>
          <w:highlight w:val="yellow"/>
        </w:rPr>
        <w:t xml:space="preserve"> we can accept hypothesis H1.</w:t>
      </w:r>
    </w:p>
    <w:p w14:paraId="226FF66B" w14:textId="44CA5D21" w:rsidR="00434961" w:rsidRPr="00BD17D7" w:rsidRDefault="00565F64" w:rsidP="00354375">
      <w:pPr>
        <w:jc w:val="both"/>
        <w:rPr>
          <w:rFonts w:asciiTheme="majorBidi" w:hAnsiTheme="majorBidi" w:cstheme="majorBidi"/>
          <w:i/>
          <w:color w:val="000000" w:themeColor="text1"/>
          <w:sz w:val="24"/>
          <w:szCs w:val="24"/>
          <w:highlight w:val="yellow"/>
        </w:rPr>
      </w:pPr>
      <w:r w:rsidRPr="00BD17D7">
        <w:rPr>
          <w:rFonts w:asciiTheme="majorBidi" w:hAnsiTheme="majorBidi" w:cstheme="majorBidi"/>
          <w:color w:val="000000" w:themeColor="text1"/>
          <w:sz w:val="24"/>
          <w:szCs w:val="24"/>
          <w:highlight w:val="yellow"/>
        </w:rPr>
        <w:t xml:space="preserve">Among </w:t>
      </w:r>
      <w:r w:rsidR="00A560D8" w:rsidRPr="00BD17D7">
        <w:rPr>
          <w:rFonts w:asciiTheme="majorBidi" w:hAnsiTheme="majorBidi" w:cstheme="majorBidi"/>
          <w:color w:val="000000" w:themeColor="text1"/>
          <w:sz w:val="24"/>
          <w:szCs w:val="24"/>
          <w:highlight w:val="yellow"/>
        </w:rPr>
        <w:t>model</w:t>
      </w:r>
      <w:r w:rsidR="0047192D" w:rsidRPr="00BD17D7">
        <w:rPr>
          <w:rFonts w:asciiTheme="majorBidi" w:hAnsiTheme="majorBidi" w:cstheme="majorBidi"/>
          <w:color w:val="000000" w:themeColor="text1"/>
          <w:sz w:val="24"/>
          <w:szCs w:val="24"/>
          <w:highlight w:val="yellow"/>
        </w:rPr>
        <w:t>-</w:t>
      </w:r>
      <w:r w:rsidRPr="00BD17D7">
        <w:rPr>
          <w:rFonts w:asciiTheme="majorBidi" w:hAnsiTheme="majorBidi" w:cstheme="majorBidi"/>
          <w:color w:val="000000" w:themeColor="text1"/>
          <w:sz w:val="24"/>
          <w:szCs w:val="24"/>
          <w:highlight w:val="yellow"/>
        </w:rPr>
        <w:t xml:space="preserve">controlled variables, </w:t>
      </w:r>
      <w:r w:rsidR="00597779" w:rsidRPr="00BD17D7">
        <w:rPr>
          <w:rFonts w:asciiTheme="majorBidi" w:hAnsiTheme="majorBidi" w:cstheme="majorBidi"/>
          <w:color w:val="000000" w:themeColor="text1"/>
          <w:sz w:val="24"/>
          <w:szCs w:val="24"/>
          <w:highlight w:val="yellow"/>
        </w:rPr>
        <w:t>IND</w:t>
      </w:r>
      <w:r w:rsidRPr="00BD17D7">
        <w:rPr>
          <w:rFonts w:asciiTheme="majorBidi" w:hAnsiTheme="majorBidi" w:cstheme="majorBidi"/>
          <w:color w:val="000000" w:themeColor="text1"/>
          <w:sz w:val="24"/>
          <w:szCs w:val="24"/>
          <w:highlight w:val="yellow"/>
        </w:rPr>
        <w:t xml:space="preserve"> and </w:t>
      </w:r>
      <w:r w:rsidR="00597779" w:rsidRPr="00BD17D7">
        <w:rPr>
          <w:rFonts w:asciiTheme="majorBidi" w:hAnsiTheme="majorBidi" w:cstheme="majorBidi"/>
          <w:color w:val="000000" w:themeColor="text1"/>
          <w:sz w:val="24"/>
          <w:szCs w:val="24"/>
          <w:highlight w:val="yellow"/>
        </w:rPr>
        <w:t>MTB</w:t>
      </w:r>
      <w:r w:rsidRPr="00BD17D7">
        <w:rPr>
          <w:rFonts w:asciiTheme="majorBidi" w:hAnsiTheme="majorBidi" w:cstheme="majorBidi"/>
          <w:color w:val="000000" w:themeColor="text1"/>
          <w:sz w:val="24"/>
          <w:szCs w:val="24"/>
          <w:highlight w:val="yellow"/>
        </w:rPr>
        <w:t xml:space="preserve"> </w:t>
      </w:r>
      <w:r w:rsidR="00ED0265" w:rsidRPr="00BD17D7">
        <w:rPr>
          <w:rFonts w:asciiTheme="majorBidi" w:hAnsiTheme="majorBidi" w:cstheme="majorBidi"/>
          <w:color w:val="000000" w:themeColor="text1"/>
          <w:sz w:val="24"/>
          <w:szCs w:val="24"/>
          <w:highlight w:val="yellow"/>
        </w:rPr>
        <w:t>negatively affect</w:t>
      </w:r>
      <w:r w:rsidRPr="00BD17D7">
        <w:rPr>
          <w:rFonts w:asciiTheme="majorBidi" w:hAnsiTheme="majorBidi" w:cstheme="majorBidi"/>
          <w:color w:val="000000" w:themeColor="text1"/>
          <w:sz w:val="24"/>
          <w:szCs w:val="24"/>
          <w:highlight w:val="yellow"/>
        </w:rPr>
        <w:t xml:space="preserve"> the </w:t>
      </w:r>
      <w:r w:rsidR="00597779" w:rsidRPr="00BD17D7">
        <w:rPr>
          <w:rFonts w:asciiTheme="majorBidi" w:hAnsiTheme="majorBidi" w:cstheme="majorBidi"/>
          <w:color w:val="000000" w:themeColor="text1"/>
          <w:sz w:val="24"/>
          <w:szCs w:val="24"/>
          <w:highlight w:val="yellow"/>
        </w:rPr>
        <w:t>auditor's opinion</w:t>
      </w:r>
      <w:r w:rsidRPr="00BD17D7">
        <w:rPr>
          <w:rFonts w:asciiTheme="majorBidi" w:hAnsiTheme="majorBidi" w:cstheme="majorBidi"/>
          <w:color w:val="000000" w:themeColor="text1"/>
          <w:sz w:val="24"/>
          <w:szCs w:val="24"/>
          <w:highlight w:val="yellow"/>
        </w:rPr>
        <w:t xml:space="preserve"> with the </w:t>
      </w:r>
      <w:r w:rsidR="00ED0265" w:rsidRPr="00BD17D7">
        <w:rPr>
          <w:rFonts w:asciiTheme="majorBidi" w:hAnsiTheme="majorBidi" w:cstheme="majorBidi"/>
          <w:color w:val="000000" w:themeColor="text1"/>
          <w:sz w:val="24"/>
          <w:szCs w:val="24"/>
          <w:highlight w:val="yellow"/>
        </w:rPr>
        <w:t xml:space="preserve">coefficient </w:t>
      </w:r>
      <w:proofErr w:type="gramStart"/>
      <w:r w:rsidRPr="00BD17D7">
        <w:rPr>
          <w:rFonts w:asciiTheme="majorBidi" w:hAnsiTheme="majorBidi" w:cstheme="majorBidi"/>
          <w:color w:val="000000" w:themeColor="text1"/>
          <w:sz w:val="24"/>
          <w:szCs w:val="24"/>
          <w:highlight w:val="yellow"/>
        </w:rPr>
        <w:t>of</w:t>
      </w:r>
      <w:r w:rsidR="00597779" w:rsidRPr="00BD17D7">
        <w:rPr>
          <w:rFonts w:asciiTheme="majorBidi" w:hAnsiTheme="majorBidi" w:cstheme="majorBidi"/>
          <w:color w:val="000000" w:themeColor="text1"/>
          <w:sz w:val="24"/>
          <w:szCs w:val="24"/>
          <w:highlight w:val="yellow"/>
        </w:rPr>
        <w:t xml:space="preserve"> </w:t>
      </w:r>
      <w:r w:rsidRPr="00BD17D7">
        <w:rPr>
          <w:rFonts w:asciiTheme="majorBidi" w:hAnsiTheme="majorBidi" w:cstheme="majorBidi"/>
          <w:color w:val="000000" w:themeColor="text1"/>
          <w:sz w:val="24"/>
          <w:szCs w:val="24"/>
          <w:highlight w:val="yellow"/>
        </w:rPr>
        <w:t xml:space="preserve"> </w:t>
      </w:r>
      <w:r w:rsidR="00597779" w:rsidRPr="00BD17D7">
        <w:rPr>
          <w:rFonts w:asciiTheme="majorBidi" w:hAnsiTheme="majorBidi" w:cstheme="majorBidi"/>
          <w:color w:val="000000" w:themeColor="text1"/>
          <w:sz w:val="24"/>
          <w:szCs w:val="24"/>
          <w:highlight w:val="yellow"/>
        </w:rPr>
        <w:t>-</w:t>
      </w:r>
      <w:proofErr w:type="gramEnd"/>
      <w:r w:rsidR="00597779" w:rsidRPr="00BD17D7">
        <w:rPr>
          <w:rFonts w:asciiTheme="majorBidi" w:hAnsiTheme="majorBidi" w:cstheme="majorBidi"/>
          <w:color w:val="000000" w:themeColor="text1"/>
          <w:sz w:val="24"/>
          <w:szCs w:val="24"/>
          <w:highlight w:val="yellow"/>
        </w:rPr>
        <w:t>9</w:t>
      </w:r>
      <w:r w:rsidRPr="00BD17D7">
        <w:rPr>
          <w:rFonts w:asciiTheme="majorBidi" w:hAnsiTheme="majorBidi" w:cstheme="majorBidi"/>
          <w:color w:val="000000" w:themeColor="text1"/>
          <w:sz w:val="24"/>
          <w:szCs w:val="24"/>
          <w:highlight w:val="yellow"/>
        </w:rPr>
        <w:t>.</w:t>
      </w:r>
      <w:r w:rsidR="00597779" w:rsidRPr="00BD17D7">
        <w:rPr>
          <w:rFonts w:asciiTheme="majorBidi" w:hAnsiTheme="majorBidi" w:cstheme="majorBidi"/>
          <w:color w:val="000000" w:themeColor="text1"/>
          <w:sz w:val="24"/>
          <w:szCs w:val="24"/>
          <w:highlight w:val="yellow"/>
        </w:rPr>
        <w:t>363</w:t>
      </w:r>
      <w:r w:rsidRPr="00BD17D7">
        <w:rPr>
          <w:rFonts w:asciiTheme="majorBidi" w:hAnsiTheme="majorBidi" w:cstheme="majorBidi"/>
          <w:color w:val="000000" w:themeColor="text1"/>
          <w:sz w:val="24"/>
          <w:szCs w:val="24"/>
          <w:highlight w:val="yellow"/>
        </w:rPr>
        <w:t xml:space="preserve"> and </w:t>
      </w:r>
      <w:r w:rsidR="00597779" w:rsidRPr="00BD17D7">
        <w:rPr>
          <w:rFonts w:asciiTheme="majorBidi" w:hAnsiTheme="majorBidi" w:cstheme="majorBidi"/>
          <w:color w:val="000000" w:themeColor="text1"/>
          <w:sz w:val="24"/>
          <w:szCs w:val="24"/>
          <w:highlight w:val="yellow"/>
        </w:rPr>
        <w:t>-2</w:t>
      </w:r>
      <w:r w:rsidRPr="00BD17D7">
        <w:rPr>
          <w:rFonts w:asciiTheme="majorBidi" w:hAnsiTheme="majorBidi" w:cstheme="majorBidi"/>
          <w:color w:val="000000" w:themeColor="text1"/>
          <w:sz w:val="24"/>
          <w:szCs w:val="24"/>
          <w:highlight w:val="yellow"/>
        </w:rPr>
        <w:t>.</w:t>
      </w:r>
      <w:r w:rsidR="00597779" w:rsidRPr="00BD17D7">
        <w:rPr>
          <w:rFonts w:asciiTheme="majorBidi" w:hAnsiTheme="majorBidi" w:cstheme="majorBidi"/>
          <w:color w:val="000000" w:themeColor="text1"/>
          <w:sz w:val="24"/>
          <w:szCs w:val="24"/>
          <w:highlight w:val="yellow"/>
        </w:rPr>
        <w:t>026</w:t>
      </w:r>
      <w:r w:rsidRPr="00BD17D7">
        <w:rPr>
          <w:rFonts w:asciiTheme="majorBidi" w:hAnsiTheme="majorBidi" w:cstheme="majorBidi"/>
          <w:color w:val="000000" w:themeColor="text1"/>
          <w:sz w:val="24"/>
          <w:szCs w:val="24"/>
          <w:highlight w:val="yellow"/>
        </w:rPr>
        <w:t xml:space="preserve">, respectively. The </w:t>
      </w:r>
      <w:r w:rsidR="00597779" w:rsidRPr="00BD17D7">
        <w:rPr>
          <w:rFonts w:asciiTheme="majorBidi" w:hAnsiTheme="majorBidi" w:cstheme="majorBidi"/>
          <w:color w:val="000000" w:themeColor="text1"/>
          <w:sz w:val="24"/>
          <w:szCs w:val="24"/>
          <w:highlight w:val="yellow"/>
        </w:rPr>
        <w:t xml:space="preserve">Duality, Size, </w:t>
      </w:r>
      <w:proofErr w:type="spellStart"/>
      <w:r w:rsidR="00597779" w:rsidRPr="00BD17D7">
        <w:rPr>
          <w:rFonts w:asciiTheme="majorBidi" w:hAnsiTheme="majorBidi" w:cstheme="majorBidi"/>
          <w:color w:val="000000" w:themeColor="text1"/>
          <w:sz w:val="24"/>
          <w:szCs w:val="24"/>
          <w:highlight w:val="yellow"/>
        </w:rPr>
        <w:t>Intan</w:t>
      </w:r>
      <w:proofErr w:type="spellEnd"/>
      <w:r w:rsidR="003F0C2C" w:rsidRPr="00BD17D7">
        <w:rPr>
          <w:rFonts w:asciiTheme="majorBidi" w:hAnsiTheme="majorBidi" w:cstheme="majorBidi"/>
          <w:color w:val="000000" w:themeColor="text1"/>
          <w:sz w:val="24"/>
          <w:szCs w:val="24"/>
          <w:highlight w:val="yellow"/>
        </w:rPr>
        <w:t>,</w:t>
      </w:r>
      <w:r w:rsidR="00597779" w:rsidRPr="00BD17D7">
        <w:rPr>
          <w:rFonts w:asciiTheme="majorBidi" w:hAnsiTheme="majorBidi" w:cstheme="majorBidi"/>
          <w:color w:val="000000" w:themeColor="text1"/>
          <w:sz w:val="24"/>
          <w:szCs w:val="24"/>
          <w:highlight w:val="yellow"/>
        </w:rPr>
        <w:t xml:space="preserve"> and BIG </w:t>
      </w:r>
      <w:r w:rsidRPr="00BD17D7">
        <w:rPr>
          <w:rFonts w:asciiTheme="majorBidi" w:hAnsiTheme="majorBidi" w:cstheme="majorBidi"/>
          <w:color w:val="000000" w:themeColor="text1"/>
          <w:sz w:val="24"/>
          <w:szCs w:val="24"/>
          <w:highlight w:val="yellow"/>
        </w:rPr>
        <w:t>variable</w:t>
      </w:r>
      <w:r w:rsidR="00597779" w:rsidRPr="00BD17D7">
        <w:rPr>
          <w:rFonts w:asciiTheme="majorBidi" w:hAnsiTheme="majorBidi" w:cstheme="majorBidi"/>
          <w:color w:val="000000" w:themeColor="text1"/>
          <w:sz w:val="24"/>
          <w:szCs w:val="24"/>
          <w:highlight w:val="yellow"/>
        </w:rPr>
        <w:t>s</w:t>
      </w:r>
      <w:r w:rsidRPr="00BD17D7">
        <w:rPr>
          <w:rFonts w:asciiTheme="majorBidi" w:hAnsiTheme="majorBidi" w:cstheme="majorBidi"/>
          <w:color w:val="000000" w:themeColor="text1"/>
          <w:sz w:val="24"/>
          <w:szCs w:val="24"/>
          <w:highlight w:val="yellow"/>
        </w:rPr>
        <w:t xml:space="preserve"> </w:t>
      </w:r>
      <w:r w:rsidR="00C564E6" w:rsidRPr="00BD17D7">
        <w:rPr>
          <w:rFonts w:asciiTheme="majorBidi" w:hAnsiTheme="majorBidi" w:cstheme="majorBidi"/>
          <w:color w:val="000000" w:themeColor="text1"/>
          <w:sz w:val="24"/>
          <w:szCs w:val="24"/>
          <w:highlight w:val="yellow"/>
        </w:rPr>
        <w:t xml:space="preserve">have </w:t>
      </w:r>
      <w:r w:rsidR="00354375" w:rsidRPr="00BD17D7">
        <w:rPr>
          <w:rFonts w:asciiTheme="majorBidi" w:hAnsiTheme="majorBidi" w:cstheme="majorBidi"/>
          <w:color w:val="000000" w:themeColor="text1"/>
          <w:sz w:val="24"/>
          <w:szCs w:val="24"/>
          <w:highlight w:val="yellow"/>
        </w:rPr>
        <w:t xml:space="preserve">the </w:t>
      </w:r>
      <w:r w:rsidR="00597779" w:rsidRPr="00BD17D7">
        <w:rPr>
          <w:rFonts w:asciiTheme="majorBidi" w:hAnsiTheme="majorBidi" w:cstheme="majorBidi"/>
          <w:color w:val="000000" w:themeColor="text1"/>
          <w:sz w:val="24"/>
          <w:szCs w:val="24"/>
          <w:highlight w:val="yellow"/>
        </w:rPr>
        <w:t xml:space="preserve">positive </w:t>
      </w:r>
      <w:r w:rsidRPr="00BD17D7">
        <w:rPr>
          <w:rFonts w:asciiTheme="majorBidi" w:hAnsiTheme="majorBidi" w:cstheme="majorBidi"/>
          <w:color w:val="000000" w:themeColor="text1"/>
          <w:sz w:val="24"/>
          <w:szCs w:val="24"/>
          <w:highlight w:val="yellow"/>
        </w:rPr>
        <w:t>effect</w:t>
      </w:r>
      <w:r w:rsidR="00597779" w:rsidRPr="00BD17D7">
        <w:rPr>
          <w:rFonts w:asciiTheme="majorBidi" w:hAnsiTheme="majorBidi" w:cstheme="majorBidi"/>
          <w:color w:val="000000" w:themeColor="text1"/>
          <w:sz w:val="24"/>
          <w:szCs w:val="24"/>
          <w:highlight w:val="yellow"/>
        </w:rPr>
        <w:t>s on the auditor's opinion</w:t>
      </w:r>
      <w:r w:rsidR="00D46469" w:rsidRPr="00BD17D7">
        <w:rPr>
          <w:rFonts w:asciiTheme="majorBidi" w:hAnsiTheme="majorBidi" w:cstheme="majorBidi"/>
          <w:color w:val="000000" w:themeColor="text1"/>
          <w:sz w:val="24"/>
          <w:szCs w:val="24"/>
          <w:highlight w:val="yellow"/>
        </w:rPr>
        <w:t>,</w:t>
      </w:r>
      <w:r w:rsidRPr="00BD17D7">
        <w:rPr>
          <w:rFonts w:asciiTheme="majorBidi" w:hAnsiTheme="majorBidi" w:cstheme="majorBidi"/>
          <w:color w:val="000000" w:themeColor="text1"/>
          <w:sz w:val="24"/>
          <w:szCs w:val="24"/>
          <w:highlight w:val="yellow"/>
        </w:rPr>
        <w:t xml:space="preserve"> and the </w:t>
      </w:r>
      <w:r w:rsidR="00E802DF" w:rsidRPr="00BD17D7">
        <w:rPr>
          <w:rFonts w:asciiTheme="majorBidi" w:hAnsiTheme="majorBidi" w:cstheme="majorBidi"/>
          <w:color w:val="000000" w:themeColor="text1"/>
          <w:sz w:val="24"/>
          <w:szCs w:val="24"/>
          <w:highlight w:val="yellow"/>
        </w:rPr>
        <w:t>ROA, LEV</w:t>
      </w:r>
      <w:r w:rsidR="005C5736" w:rsidRPr="00BD17D7">
        <w:rPr>
          <w:rFonts w:asciiTheme="majorBidi" w:hAnsiTheme="majorBidi" w:cstheme="majorBidi"/>
          <w:color w:val="000000" w:themeColor="text1"/>
          <w:sz w:val="24"/>
          <w:szCs w:val="24"/>
          <w:highlight w:val="yellow"/>
        </w:rPr>
        <w:t>,</w:t>
      </w:r>
      <w:r w:rsidR="00E802DF" w:rsidRPr="00BD17D7">
        <w:rPr>
          <w:rFonts w:asciiTheme="majorBidi" w:hAnsiTheme="majorBidi" w:cstheme="majorBidi"/>
          <w:color w:val="000000" w:themeColor="text1"/>
          <w:sz w:val="24"/>
          <w:szCs w:val="24"/>
          <w:highlight w:val="yellow"/>
        </w:rPr>
        <w:t xml:space="preserve"> and </w:t>
      </w:r>
      <w:proofErr w:type="gramStart"/>
      <w:r w:rsidR="00E802DF" w:rsidRPr="00BD17D7">
        <w:rPr>
          <w:rFonts w:asciiTheme="majorBidi" w:hAnsiTheme="majorBidi" w:cstheme="majorBidi"/>
          <w:color w:val="000000" w:themeColor="text1"/>
          <w:sz w:val="24"/>
          <w:szCs w:val="24"/>
          <w:highlight w:val="yellow"/>
        </w:rPr>
        <w:t xml:space="preserve">FDISTER  </w:t>
      </w:r>
      <w:r w:rsidRPr="00BD17D7">
        <w:rPr>
          <w:rFonts w:asciiTheme="majorBidi" w:hAnsiTheme="majorBidi" w:cstheme="majorBidi"/>
          <w:color w:val="000000" w:themeColor="text1"/>
          <w:sz w:val="24"/>
          <w:szCs w:val="24"/>
          <w:highlight w:val="yellow"/>
        </w:rPr>
        <w:t>have</w:t>
      </w:r>
      <w:proofErr w:type="gramEnd"/>
      <w:r w:rsidRPr="00BD17D7">
        <w:rPr>
          <w:rFonts w:asciiTheme="majorBidi" w:hAnsiTheme="majorBidi" w:cstheme="majorBidi"/>
          <w:color w:val="000000" w:themeColor="text1"/>
          <w:sz w:val="24"/>
          <w:szCs w:val="24"/>
          <w:highlight w:val="yellow"/>
        </w:rPr>
        <w:t xml:space="preserve"> no significant effects.</w:t>
      </w:r>
      <w:r w:rsidR="00434961" w:rsidRPr="00BD17D7">
        <w:rPr>
          <w:rFonts w:asciiTheme="majorBidi" w:hAnsiTheme="majorBidi" w:cstheme="majorBidi"/>
          <w:color w:val="000000" w:themeColor="text1"/>
          <w:sz w:val="24"/>
          <w:szCs w:val="24"/>
          <w:highlight w:val="yellow"/>
        </w:rPr>
        <w:t xml:space="preserve"> R2 confirms that 83.4% of the auditor's opinion variability is explained by the independent and control variables in our model.</w:t>
      </w:r>
      <w:r w:rsidR="00434961" w:rsidRPr="00BD17D7">
        <w:rPr>
          <w:rFonts w:asciiTheme="majorBidi" w:hAnsiTheme="majorBidi" w:cstheme="majorBidi"/>
          <w:i/>
          <w:color w:val="000000" w:themeColor="text1"/>
          <w:sz w:val="24"/>
          <w:szCs w:val="24"/>
          <w:highlight w:val="yellow"/>
        </w:rPr>
        <w:t xml:space="preserve"> </w:t>
      </w:r>
    </w:p>
    <w:p w14:paraId="7CADD278" w14:textId="338F7B0A" w:rsidR="00565F64" w:rsidRPr="00BD17D7" w:rsidRDefault="00565F64" w:rsidP="00A560D8">
      <w:pPr>
        <w:jc w:val="both"/>
        <w:rPr>
          <w:rFonts w:asciiTheme="majorBidi" w:hAnsiTheme="majorBidi" w:cstheme="majorBidi"/>
          <w:color w:val="000000" w:themeColor="text1"/>
          <w:sz w:val="24"/>
          <w:szCs w:val="24"/>
          <w:highlight w:val="yellow"/>
        </w:rPr>
      </w:pPr>
    </w:p>
    <w:p w14:paraId="723E76CB" w14:textId="55EA2A2B" w:rsidR="00565F64" w:rsidRPr="00BD17D7" w:rsidRDefault="005E1AD1" w:rsidP="00CD6D68">
      <w:pPr>
        <w:jc w:val="both"/>
        <w:rPr>
          <w:rFonts w:asciiTheme="majorBidi" w:hAnsiTheme="majorBidi" w:cstheme="majorBidi"/>
          <w:color w:val="000000" w:themeColor="text1"/>
          <w:sz w:val="24"/>
          <w:szCs w:val="24"/>
          <w:highlight w:val="yellow"/>
        </w:rPr>
      </w:pPr>
      <w:r w:rsidRPr="00BD17D7">
        <w:rPr>
          <w:rFonts w:asciiTheme="majorBidi" w:hAnsiTheme="majorBidi" w:cstheme="majorBidi"/>
          <w:color w:val="000000" w:themeColor="text1"/>
          <w:sz w:val="24"/>
          <w:szCs w:val="24"/>
          <w:highlight w:val="yellow"/>
        </w:rPr>
        <w:t xml:space="preserve">Table </w:t>
      </w:r>
      <w:r w:rsidR="0016661D" w:rsidRPr="00BD17D7">
        <w:rPr>
          <w:rFonts w:asciiTheme="majorBidi" w:hAnsiTheme="majorBidi" w:cstheme="majorBidi"/>
          <w:color w:val="000000" w:themeColor="text1"/>
          <w:sz w:val="24"/>
          <w:szCs w:val="24"/>
          <w:highlight w:val="yellow"/>
        </w:rPr>
        <w:t>5</w:t>
      </w:r>
      <w:r w:rsidRPr="00BD17D7">
        <w:rPr>
          <w:rFonts w:asciiTheme="majorBidi" w:hAnsiTheme="majorBidi" w:cstheme="majorBidi"/>
          <w:color w:val="000000" w:themeColor="text1"/>
          <w:sz w:val="24"/>
          <w:szCs w:val="24"/>
          <w:highlight w:val="yellow"/>
        </w:rPr>
        <w:t xml:space="preserve"> presents the results for our second and third tested hypotheses. </w:t>
      </w:r>
      <w:r w:rsidR="003A6A4A" w:rsidRPr="00BD17D7">
        <w:rPr>
          <w:rFonts w:asciiTheme="majorBidi" w:hAnsiTheme="majorBidi" w:cstheme="majorBidi"/>
          <w:color w:val="000000" w:themeColor="text1"/>
          <w:sz w:val="24"/>
          <w:szCs w:val="24"/>
          <w:highlight w:val="yellow"/>
        </w:rPr>
        <w:t xml:space="preserve">In table </w:t>
      </w:r>
      <w:r w:rsidR="0016661D" w:rsidRPr="00BD17D7">
        <w:rPr>
          <w:rFonts w:asciiTheme="majorBidi" w:hAnsiTheme="majorBidi" w:cstheme="majorBidi"/>
          <w:color w:val="000000" w:themeColor="text1"/>
          <w:sz w:val="24"/>
          <w:szCs w:val="24"/>
          <w:highlight w:val="yellow"/>
        </w:rPr>
        <w:t>5</w:t>
      </w:r>
      <w:r w:rsidR="00F26F7F" w:rsidRPr="00BD17D7">
        <w:rPr>
          <w:rFonts w:asciiTheme="majorBidi" w:hAnsiTheme="majorBidi" w:cstheme="majorBidi"/>
          <w:color w:val="000000" w:themeColor="text1"/>
          <w:sz w:val="24"/>
          <w:szCs w:val="24"/>
          <w:highlight w:val="yellow"/>
        </w:rPr>
        <w:t>,</w:t>
      </w:r>
      <w:r w:rsidR="003A6A4A" w:rsidRPr="00BD17D7">
        <w:rPr>
          <w:rFonts w:asciiTheme="majorBidi" w:hAnsiTheme="majorBidi" w:cstheme="majorBidi"/>
          <w:color w:val="000000" w:themeColor="text1"/>
          <w:sz w:val="24"/>
          <w:szCs w:val="24"/>
          <w:highlight w:val="yellow"/>
        </w:rPr>
        <w:t xml:space="preserve"> it is known that </w:t>
      </w:r>
      <w:r w:rsidRPr="00BD17D7">
        <w:rPr>
          <w:rFonts w:asciiTheme="majorBidi" w:hAnsiTheme="majorBidi" w:cstheme="majorBidi"/>
          <w:color w:val="000000" w:themeColor="text1"/>
          <w:sz w:val="24"/>
          <w:szCs w:val="24"/>
          <w:highlight w:val="yellow"/>
        </w:rPr>
        <w:t xml:space="preserve">a significant </w:t>
      </w:r>
      <w:r w:rsidR="003A6A4A" w:rsidRPr="00BD17D7">
        <w:rPr>
          <w:rFonts w:asciiTheme="majorBidi" w:hAnsiTheme="majorBidi" w:cstheme="majorBidi"/>
          <w:color w:val="000000" w:themeColor="text1"/>
          <w:sz w:val="24"/>
          <w:szCs w:val="24"/>
          <w:highlight w:val="yellow"/>
        </w:rPr>
        <w:t xml:space="preserve">positive </w:t>
      </w:r>
      <w:r w:rsidRPr="00BD17D7">
        <w:rPr>
          <w:rFonts w:asciiTheme="majorBidi" w:hAnsiTheme="majorBidi" w:cstheme="majorBidi"/>
          <w:color w:val="000000" w:themeColor="text1"/>
          <w:sz w:val="24"/>
          <w:szCs w:val="24"/>
          <w:highlight w:val="yellow"/>
        </w:rPr>
        <w:t xml:space="preserve">impact of </w:t>
      </w:r>
      <w:r w:rsidR="003A6A4A" w:rsidRPr="00BD17D7">
        <w:rPr>
          <w:rFonts w:asciiTheme="majorBidi" w:hAnsiTheme="majorBidi" w:cstheme="majorBidi"/>
          <w:color w:val="000000" w:themeColor="text1"/>
          <w:sz w:val="24"/>
          <w:szCs w:val="24"/>
          <w:highlight w:val="yellow"/>
        </w:rPr>
        <w:t xml:space="preserve">tax avoidance </w:t>
      </w:r>
      <w:r w:rsidRPr="00BD17D7">
        <w:rPr>
          <w:rFonts w:asciiTheme="majorBidi" w:hAnsiTheme="majorBidi" w:cstheme="majorBidi"/>
          <w:color w:val="000000" w:themeColor="text1"/>
          <w:sz w:val="24"/>
          <w:szCs w:val="24"/>
          <w:highlight w:val="yellow"/>
        </w:rPr>
        <w:t>on the auditor's opinions</w:t>
      </w:r>
      <w:r w:rsidR="00A54E3E" w:rsidRPr="00BD17D7">
        <w:rPr>
          <w:rFonts w:asciiTheme="majorBidi" w:hAnsiTheme="majorBidi" w:cstheme="majorBidi"/>
          <w:color w:val="000000" w:themeColor="text1"/>
          <w:sz w:val="24"/>
          <w:szCs w:val="24"/>
          <w:highlight w:val="yellow"/>
        </w:rPr>
        <w:t xml:space="preserve"> (β1=</w:t>
      </w:r>
      <w:r w:rsidR="008F72DE" w:rsidRPr="00BD17D7">
        <w:rPr>
          <w:rFonts w:asciiTheme="majorBidi" w:hAnsiTheme="majorBidi" w:cstheme="majorBidi"/>
          <w:color w:val="000000" w:themeColor="text1"/>
          <w:sz w:val="24"/>
          <w:szCs w:val="24"/>
          <w:highlight w:val="yellow"/>
        </w:rPr>
        <w:t>5</w:t>
      </w:r>
      <w:r w:rsidR="00A54E3E" w:rsidRPr="00BD17D7">
        <w:rPr>
          <w:rFonts w:asciiTheme="majorBidi" w:hAnsiTheme="majorBidi" w:cstheme="majorBidi"/>
          <w:color w:val="000000" w:themeColor="text1"/>
          <w:sz w:val="24"/>
          <w:szCs w:val="24"/>
          <w:highlight w:val="yellow"/>
        </w:rPr>
        <w:t>.</w:t>
      </w:r>
      <w:r w:rsidR="008F72DE" w:rsidRPr="00BD17D7">
        <w:rPr>
          <w:rFonts w:asciiTheme="majorBidi" w:hAnsiTheme="majorBidi" w:cstheme="majorBidi"/>
          <w:color w:val="000000" w:themeColor="text1"/>
          <w:sz w:val="24"/>
          <w:szCs w:val="24"/>
          <w:highlight w:val="yellow"/>
        </w:rPr>
        <w:t>492</w:t>
      </w:r>
      <w:r w:rsidR="00A54E3E" w:rsidRPr="00BD17D7">
        <w:rPr>
          <w:rFonts w:asciiTheme="majorBidi" w:hAnsiTheme="majorBidi" w:cstheme="majorBidi"/>
          <w:color w:val="000000" w:themeColor="text1"/>
          <w:sz w:val="24"/>
          <w:szCs w:val="24"/>
          <w:highlight w:val="yellow"/>
        </w:rPr>
        <w:t>)</w:t>
      </w:r>
      <w:r w:rsidRPr="00BD17D7">
        <w:rPr>
          <w:rFonts w:asciiTheme="majorBidi" w:hAnsiTheme="majorBidi" w:cstheme="majorBidi"/>
          <w:color w:val="000000" w:themeColor="text1"/>
          <w:sz w:val="24"/>
          <w:szCs w:val="24"/>
          <w:highlight w:val="yellow"/>
        </w:rPr>
        <w:t xml:space="preserve">. Uncertainty affects the auditor's opinions with a coefficient of </w:t>
      </w:r>
      <w:r w:rsidR="00A54E3E" w:rsidRPr="00BD17D7">
        <w:rPr>
          <w:rFonts w:asciiTheme="majorBidi" w:hAnsiTheme="majorBidi" w:cstheme="majorBidi"/>
          <w:color w:val="000000" w:themeColor="text1"/>
          <w:sz w:val="24"/>
          <w:szCs w:val="24"/>
          <w:highlight w:val="yellow"/>
        </w:rPr>
        <w:t>2</w:t>
      </w:r>
      <w:r w:rsidRPr="00BD17D7">
        <w:rPr>
          <w:rFonts w:asciiTheme="majorBidi" w:hAnsiTheme="majorBidi" w:cstheme="majorBidi"/>
          <w:color w:val="000000" w:themeColor="text1"/>
          <w:sz w:val="24"/>
          <w:szCs w:val="24"/>
          <w:highlight w:val="yellow"/>
        </w:rPr>
        <w:t>.</w:t>
      </w:r>
      <w:r w:rsidR="00A54E3E" w:rsidRPr="00BD17D7">
        <w:rPr>
          <w:rFonts w:asciiTheme="majorBidi" w:hAnsiTheme="majorBidi" w:cstheme="majorBidi"/>
          <w:color w:val="000000" w:themeColor="text1"/>
          <w:sz w:val="24"/>
          <w:szCs w:val="24"/>
          <w:highlight w:val="yellow"/>
        </w:rPr>
        <w:t>847</w:t>
      </w:r>
      <w:r w:rsidRPr="00BD17D7">
        <w:rPr>
          <w:rFonts w:asciiTheme="majorBidi" w:hAnsiTheme="majorBidi" w:cstheme="majorBidi"/>
          <w:color w:val="000000" w:themeColor="text1"/>
          <w:sz w:val="24"/>
          <w:szCs w:val="24"/>
          <w:highlight w:val="yellow"/>
        </w:rPr>
        <w:t xml:space="preserve">. </w:t>
      </w:r>
      <w:r w:rsidR="00F97348" w:rsidRPr="00BD17D7">
        <w:rPr>
          <w:rFonts w:asciiTheme="majorBidi" w:hAnsiTheme="majorBidi" w:cstheme="majorBidi"/>
          <w:color w:val="000000" w:themeColor="text1"/>
          <w:sz w:val="24"/>
          <w:szCs w:val="24"/>
          <w:highlight w:val="yellow"/>
        </w:rPr>
        <w:t>Besides</w:t>
      </w:r>
      <w:r w:rsidR="006F43C1" w:rsidRPr="00BD17D7">
        <w:rPr>
          <w:rFonts w:asciiTheme="majorBidi" w:hAnsiTheme="majorBidi" w:cstheme="majorBidi"/>
          <w:color w:val="000000" w:themeColor="text1"/>
          <w:sz w:val="24"/>
          <w:szCs w:val="24"/>
          <w:highlight w:val="yellow"/>
        </w:rPr>
        <w:t>, m</w:t>
      </w:r>
      <w:r w:rsidRPr="00BD17D7">
        <w:rPr>
          <w:rFonts w:asciiTheme="majorBidi" w:hAnsiTheme="majorBidi" w:cstheme="majorBidi"/>
          <w:color w:val="000000" w:themeColor="text1"/>
          <w:sz w:val="24"/>
          <w:szCs w:val="24"/>
          <w:highlight w:val="yellow"/>
        </w:rPr>
        <w:t xml:space="preserve">arket uncertainty intensifies the effect of tax avoidance on the auditor's opinions by the coefficient of </w:t>
      </w:r>
      <w:r w:rsidR="00A54E3E" w:rsidRPr="00BD17D7">
        <w:rPr>
          <w:rFonts w:asciiTheme="majorBidi" w:hAnsiTheme="majorBidi" w:cstheme="majorBidi"/>
          <w:color w:val="000000" w:themeColor="text1"/>
          <w:sz w:val="24"/>
          <w:szCs w:val="24"/>
          <w:highlight w:val="yellow"/>
        </w:rPr>
        <w:t>1</w:t>
      </w:r>
      <w:r w:rsidRPr="00BD17D7">
        <w:rPr>
          <w:rFonts w:asciiTheme="majorBidi" w:hAnsiTheme="majorBidi" w:cstheme="majorBidi"/>
          <w:color w:val="000000" w:themeColor="text1"/>
          <w:sz w:val="24"/>
          <w:szCs w:val="24"/>
          <w:highlight w:val="yellow"/>
        </w:rPr>
        <w:t>.</w:t>
      </w:r>
      <w:r w:rsidR="00A54E3E" w:rsidRPr="00BD17D7">
        <w:rPr>
          <w:rFonts w:asciiTheme="majorBidi" w:hAnsiTheme="majorBidi" w:cstheme="majorBidi"/>
          <w:color w:val="000000" w:themeColor="text1"/>
          <w:sz w:val="24"/>
          <w:szCs w:val="24"/>
          <w:highlight w:val="yellow"/>
        </w:rPr>
        <w:t>491</w:t>
      </w:r>
      <w:r w:rsidRPr="00BD17D7">
        <w:rPr>
          <w:rFonts w:asciiTheme="majorBidi" w:hAnsiTheme="majorBidi" w:cstheme="majorBidi"/>
          <w:color w:val="000000" w:themeColor="text1"/>
          <w:sz w:val="24"/>
          <w:szCs w:val="24"/>
          <w:highlight w:val="yellow"/>
        </w:rPr>
        <w:t xml:space="preserve">. </w:t>
      </w:r>
      <w:r w:rsidR="00CD6D68" w:rsidRPr="00BD17D7">
        <w:rPr>
          <w:rFonts w:asciiTheme="majorBidi" w:hAnsiTheme="majorBidi" w:cstheme="majorBidi"/>
          <w:color w:val="000000" w:themeColor="text1"/>
          <w:sz w:val="24"/>
          <w:szCs w:val="24"/>
          <w:highlight w:val="yellow"/>
        </w:rPr>
        <w:t>Thus</w:t>
      </w:r>
      <w:r w:rsidRPr="00BD17D7">
        <w:rPr>
          <w:rFonts w:asciiTheme="majorBidi" w:hAnsiTheme="majorBidi" w:cstheme="majorBidi"/>
          <w:color w:val="000000" w:themeColor="text1"/>
          <w:sz w:val="24"/>
          <w:szCs w:val="24"/>
          <w:highlight w:val="yellow"/>
        </w:rPr>
        <w:t>, we can accept H</w:t>
      </w:r>
      <w:r w:rsidR="006F43C1" w:rsidRPr="00BD17D7">
        <w:rPr>
          <w:rFonts w:asciiTheme="majorBidi" w:hAnsiTheme="majorBidi" w:cstheme="majorBidi"/>
          <w:color w:val="000000" w:themeColor="text1"/>
          <w:sz w:val="24"/>
          <w:szCs w:val="24"/>
          <w:highlight w:val="yellow"/>
        </w:rPr>
        <w:t>2</w:t>
      </w:r>
      <w:r w:rsidRPr="00BD17D7">
        <w:rPr>
          <w:rFonts w:asciiTheme="majorBidi" w:hAnsiTheme="majorBidi" w:cstheme="majorBidi"/>
          <w:color w:val="000000" w:themeColor="text1"/>
          <w:sz w:val="24"/>
          <w:szCs w:val="24"/>
          <w:highlight w:val="yellow"/>
        </w:rPr>
        <w:t>.</w:t>
      </w:r>
      <w:r w:rsidR="00A54E3E" w:rsidRPr="00BD17D7">
        <w:rPr>
          <w:rFonts w:asciiTheme="majorBidi" w:hAnsiTheme="majorBidi" w:cstheme="majorBidi"/>
          <w:color w:val="000000" w:themeColor="text1"/>
          <w:sz w:val="24"/>
          <w:szCs w:val="24"/>
          <w:highlight w:val="yellow"/>
        </w:rPr>
        <w:t xml:space="preserve"> </w:t>
      </w:r>
    </w:p>
    <w:p w14:paraId="18A0D389" w14:textId="13609E79" w:rsidR="00A54E3E" w:rsidRPr="00BD17D7" w:rsidRDefault="00A54E3E" w:rsidP="00EB37A7">
      <w:pPr>
        <w:jc w:val="both"/>
        <w:rPr>
          <w:rFonts w:asciiTheme="majorBidi" w:hAnsiTheme="majorBidi" w:cstheme="majorBidi"/>
          <w:color w:val="000000" w:themeColor="text1"/>
          <w:sz w:val="24"/>
          <w:szCs w:val="24"/>
          <w:highlight w:val="yellow"/>
        </w:rPr>
      </w:pPr>
      <w:r w:rsidRPr="00BD17D7">
        <w:rPr>
          <w:rFonts w:asciiTheme="majorBidi" w:hAnsiTheme="majorBidi" w:cstheme="majorBidi"/>
          <w:color w:val="000000" w:themeColor="text1"/>
          <w:sz w:val="24"/>
          <w:szCs w:val="24"/>
          <w:highlight w:val="yellow"/>
        </w:rPr>
        <w:t xml:space="preserve">Government ownership has a significant positive effect on the </w:t>
      </w:r>
      <w:r w:rsidR="008A0069" w:rsidRPr="00BD17D7">
        <w:rPr>
          <w:rFonts w:asciiTheme="majorBidi" w:hAnsiTheme="majorBidi" w:cstheme="majorBidi"/>
          <w:color w:val="000000" w:themeColor="text1"/>
          <w:sz w:val="24"/>
          <w:szCs w:val="24"/>
          <w:highlight w:val="yellow"/>
        </w:rPr>
        <w:t xml:space="preserve">auditor's </w:t>
      </w:r>
      <w:r w:rsidRPr="00BD17D7">
        <w:rPr>
          <w:rFonts w:asciiTheme="majorBidi" w:hAnsiTheme="majorBidi" w:cstheme="majorBidi"/>
          <w:color w:val="000000" w:themeColor="text1"/>
          <w:sz w:val="24"/>
          <w:szCs w:val="24"/>
          <w:highlight w:val="yellow"/>
        </w:rPr>
        <w:t>opinion (β2=</w:t>
      </w:r>
      <w:r w:rsidR="008F72DE" w:rsidRPr="00BD17D7">
        <w:rPr>
          <w:rFonts w:asciiTheme="majorBidi" w:hAnsiTheme="majorBidi" w:cstheme="majorBidi"/>
          <w:color w:val="000000" w:themeColor="text1"/>
          <w:sz w:val="24"/>
          <w:szCs w:val="24"/>
          <w:highlight w:val="yellow"/>
        </w:rPr>
        <w:t>4</w:t>
      </w:r>
      <w:r w:rsidRPr="00BD17D7">
        <w:rPr>
          <w:rFonts w:asciiTheme="majorBidi" w:hAnsiTheme="majorBidi" w:cstheme="majorBidi"/>
          <w:color w:val="000000" w:themeColor="text1"/>
          <w:sz w:val="24"/>
          <w:szCs w:val="24"/>
          <w:highlight w:val="yellow"/>
        </w:rPr>
        <w:t>.</w:t>
      </w:r>
      <w:r w:rsidR="008F72DE" w:rsidRPr="00BD17D7">
        <w:rPr>
          <w:rFonts w:asciiTheme="majorBidi" w:hAnsiTheme="majorBidi" w:cstheme="majorBidi"/>
          <w:color w:val="000000" w:themeColor="text1"/>
          <w:sz w:val="24"/>
          <w:szCs w:val="24"/>
          <w:highlight w:val="yellow"/>
        </w:rPr>
        <w:t>738</w:t>
      </w:r>
      <w:r w:rsidRPr="00BD17D7">
        <w:rPr>
          <w:rFonts w:asciiTheme="majorBidi" w:hAnsiTheme="majorBidi" w:cstheme="majorBidi"/>
          <w:color w:val="000000" w:themeColor="text1"/>
          <w:sz w:val="24"/>
          <w:szCs w:val="24"/>
          <w:highlight w:val="yellow"/>
        </w:rPr>
        <w:t>). The government's presence in the ownership structure increases the auditor's modified opinion. Government ownership with coefficient 2.</w:t>
      </w:r>
      <w:r w:rsidR="008F72DE" w:rsidRPr="00BD17D7">
        <w:rPr>
          <w:rFonts w:asciiTheme="majorBidi" w:hAnsiTheme="majorBidi" w:cstheme="majorBidi"/>
          <w:color w:val="000000" w:themeColor="text1"/>
          <w:sz w:val="24"/>
          <w:szCs w:val="24"/>
          <w:highlight w:val="yellow"/>
        </w:rPr>
        <w:t>405</w:t>
      </w:r>
      <w:r w:rsidRPr="00BD17D7">
        <w:rPr>
          <w:rFonts w:asciiTheme="majorBidi" w:hAnsiTheme="majorBidi" w:cstheme="majorBidi"/>
          <w:color w:val="000000" w:themeColor="text1"/>
          <w:sz w:val="24"/>
          <w:szCs w:val="24"/>
          <w:highlight w:val="yellow"/>
        </w:rPr>
        <w:t xml:space="preserve"> affects the relationship between tax avoidance and auditor's modified opinion. </w:t>
      </w:r>
      <w:r w:rsidR="00EB37A7" w:rsidRPr="00BD17D7">
        <w:rPr>
          <w:rFonts w:asciiTheme="majorBidi" w:hAnsiTheme="majorBidi" w:cstheme="majorBidi"/>
          <w:color w:val="000000" w:themeColor="text1"/>
          <w:sz w:val="24"/>
          <w:szCs w:val="24"/>
          <w:highlight w:val="yellow"/>
        </w:rPr>
        <w:t>Hence</w:t>
      </w:r>
      <w:r w:rsidRPr="00BD17D7">
        <w:rPr>
          <w:rFonts w:asciiTheme="majorBidi" w:hAnsiTheme="majorBidi" w:cstheme="majorBidi"/>
          <w:color w:val="000000" w:themeColor="text1"/>
          <w:sz w:val="24"/>
          <w:szCs w:val="24"/>
          <w:highlight w:val="yellow"/>
        </w:rPr>
        <w:t>, we can accept H2.</w:t>
      </w:r>
    </w:p>
    <w:p w14:paraId="24FC13F5" w14:textId="6FB5D7D5" w:rsidR="00CC413D" w:rsidRPr="00BD17D7" w:rsidRDefault="00C21358" w:rsidP="00C538E0">
      <w:pPr>
        <w:jc w:val="both"/>
        <w:rPr>
          <w:rFonts w:asciiTheme="majorBidi" w:hAnsiTheme="majorBidi" w:cstheme="majorBidi"/>
          <w:color w:val="000000" w:themeColor="text1"/>
          <w:sz w:val="24"/>
          <w:szCs w:val="24"/>
          <w:highlight w:val="yellow"/>
          <w:rtl/>
          <w:lang w:bidi="fa-IR"/>
        </w:rPr>
      </w:pPr>
      <w:r w:rsidRPr="00BD17D7">
        <w:rPr>
          <w:rFonts w:asciiTheme="majorBidi" w:hAnsiTheme="majorBidi" w:cstheme="majorBidi"/>
          <w:color w:val="000000" w:themeColor="text1"/>
          <w:sz w:val="24"/>
          <w:szCs w:val="24"/>
          <w:highlight w:val="yellow"/>
        </w:rPr>
        <w:lastRenderedPageBreak/>
        <w:t xml:space="preserve">The </w:t>
      </w:r>
      <w:r w:rsidR="00CC413D" w:rsidRPr="00BD17D7">
        <w:rPr>
          <w:rFonts w:asciiTheme="majorBidi" w:hAnsiTheme="majorBidi" w:cstheme="majorBidi"/>
          <w:color w:val="000000" w:themeColor="text1"/>
          <w:sz w:val="24"/>
          <w:szCs w:val="24"/>
          <w:highlight w:val="yellow"/>
        </w:rPr>
        <w:t xml:space="preserve">auditor's </w:t>
      </w:r>
      <w:r w:rsidRPr="00BD17D7">
        <w:rPr>
          <w:rFonts w:asciiTheme="majorBidi" w:hAnsiTheme="majorBidi" w:cstheme="majorBidi"/>
          <w:color w:val="000000" w:themeColor="text1"/>
          <w:sz w:val="24"/>
          <w:szCs w:val="24"/>
          <w:highlight w:val="yellow"/>
        </w:rPr>
        <w:t>opinion is negatively affected by board independence (β</w:t>
      </w:r>
      <w:r w:rsidR="00870A9F" w:rsidRPr="00BD17D7">
        <w:rPr>
          <w:rFonts w:asciiTheme="majorBidi" w:hAnsiTheme="majorBidi" w:cstheme="majorBidi"/>
          <w:color w:val="000000" w:themeColor="text1"/>
          <w:sz w:val="24"/>
          <w:szCs w:val="24"/>
          <w:highlight w:val="yellow"/>
        </w:rPr>
        <w:t>6</w:t>
      </w:r>
      <w:r w:rsidRPr="00BD17D7">
        <w:rPr>
          <w:rFonts w:asciiTheme="majorBidi" w:hAnsiTheme="majorBidi" w:cstheme="majorBidi"/>
          <w:color w:val="000000" w:themeColor="text1"/>
          <w:sz w:val="24"/>
          <w:szCs w:val="24"/>
          <w:highlight w:val="yellow"/>
        </w:rPr>
        <w:t>= -</w:t>
      </w:r>
      <w:r w:rsidR="00870A9F" w:rsidRPr="00BD17D7">
        <w:rPr>
          <w:rFonts w:asciiTheme="majorBidi" w:hAnsiTheme="majorBidi" w:cstheme="majorBidi"/>
          <w:color w:val="000000" w:themeColor="text1"/>
          <w:sz w:val="24"/>
          <w:szCs w:val="24"/>
          <w:highlight w:val="yellow"/>
        </w:rPr>
        <w:t>6</w:t>
      </w:r>
      <w:r w:rsidRPr="00BD17D7">
        <w:rPr>
          <w:rFonts w:asciiTheme="majorBidi" w:hAnsiTheme="majorBidi" w:cstheme="majorBidi"/>
          <w:color w:val="000000" w:themeColor="text1"/>
          <w:sz w:val="24"/>
          <w:szCs w:val="24"/>
          <w:highlight w:val="yellow"/>
        </w:rPr>
        <w:t>.</w:t>
      </w:r>
      <w:r w:rsidR="00870A9F" w:rsidRPr="00BD17D7">
        <w:rPr>
          <w:rFonts w:asciiTheme="majorBidi" w:hAnsiTheme="majorBidi" w:cstheme="majorBidi"/>
          <w:color w:val="000000" w:themeColor="text1"/>
          <w:sz w:val="24"/>
          <w:szCs w:val="24"/>
          <w:highlight w:val="yellow"/>
        </w:rPr>
        <w:t>350</w:t>
      </w:r>
      <w:r w:rsidRPr="00BD17D7">
        <w:rPr>
          <w:rFonts w:asciiTheme="majorBidi" w:hAnsiTheme="majorBidi" w:cstheme="majorBidi"/>
          <w:color w:val="000000" w:themeColor="text1"/>
          <w:sz w:val="24"/>
          <w:szCs w:val="24"/>
          <w:highlight w:val="yellow"/>
        </w:rPr>
        <w:t>) and MTB (β</w:t>
      </w:r>
      <w:r w:rsidR="00870A9F" w:rsidRPr="00BD17D7">
        <w:rPr>
          <w:rFonts w:asciiTheme="majorBidi" w:hAnsiTheme="majorBidi" w:cstheme="majorBidi"/>
          <w:color w:val="000000" w:themeColor="text1"/>
          <w:sz w:val="24"/>
          <w:szCs w:val="24"/>
          <w:highlight w:val="yellow"/>
        </w:rPr>
        <w:t>11</w:t>
      </w:r>
      <w:r w:rsidRPr="00BD17D7">
        <w:rPr>
          <w:rFonts w:asciiTheme="majorBidi" w:hAnsiTheme="majorBidi" w:cstheme="majorBidi"/>
          <w:color w:val="000000" w:themeColor="text1"/>
          <w:sz w:val="24"/>
          <w:szCs w:val="24"/>
          <w:highlight w:val="yellow"/>
        </w:rPr>
        <w:t>= -2.</w:t>
      </w:r>
      <w:r w:rsidR="00870A9F" w:rsidRPr="00BD17D7">
        <w:rPr>
          <w:rFonts w:asciiTheme="majorBidi" w:hAnsiTheme="majorBidi" w:cstheme="majorBidi"/>
          <w:color w:val="000000" w:themeColor="text1"/>
          <w:sz w:val="24"/>
          <w:szCs w:val="24"/>
          <w:highlight w:val="yellow"/>
        </w:rPr>
        <w:t>288</w:t>
      </w:r>
      <w:r w:rsidRPr="00BD17D7">
        <w:rPr>
          <w:rFonts w:asciiTheme="majorBidi" w:hAnsiTheme="majorBidi" w:cstheme="majorBidi"/>
          <w:color w:val="000000" w:themeColor="text1"/>
          <w:sz w:val="24"/>
          <w:szCs w:val="24"/>
          <w:highlight w:val="yellow"/>
        </w:rPr>
        <w:t xml:space="preserve">). </w:t>
      </w:r>
      <w:r w:rsidR="00C538E0" w:rsidRPr="00BD17D7">
        <w:rPr>
          <w:rFonts w:asciiTheme="majorBidi" w:hAnsiTheme="majorBidi" w:cstheme="majorBidi"/>
          <w:color w:val="000000" w:themeColor="text1"/>
          <w:sz w:val="24"/>
          <w:szCs w:val="24"/>
          <w:highlight w:val="yellow"/>
        </w:rPr>
        <w:t xml:space="preserve">All control variables significantly positively affect the modified opinion, except ROA, LEV, and </w:t>
      </w:r>
      <w:proofErr w:type="gramStart"/>
      <w:r w:rsidR="00C538E0" w:rsidRPr="00BD17D7">
        <w:rPr>
          <w:rFonts w:asciiTheme="majorBidi" w:hAnsiTheme="majorBidi" w:cstheme="majorBidi"/>
          <w:color w:val="000000" w:themeColor="text1"/>
          <w:sz w:val="24"/>
          <w:szCs w:val="24"/>
          <w:highlight w:val="yellow"/>
        </w:rPr>
        <w:t>FDISTER.</w:t>
      </w:r>
      <w:r w:rsidRPr="00BD17D7">
        <w:rPr>
          <w:rFonts w:asciiTheme="majorBidi" w:hAnsiTheme="majorBidi" w:cstheme="majorBidi"/>
          <w:color w:val="000000" w:themeColor="text1"/>
          <w:sz w:val="24"/>
          <w:szCs w:val="24"/>
          <w:highlight w:val="yellow"/>
        </w:rPr>
        <w:t>.</w:t>
      </w:r>
      <w:proofErr w:type="gramEnd"/>
      <w:r w:rsidRPr="00BD17D7">
        <w:rPr>
          <w:rFonts w:asciiTheme="majorBidi" w:hAnsiTheme="majorBidi" w:cstheme="majorBidi"/>
          <w:color w:val="000000" w:themeColor="text1"/>
          <w:sz w:val="24"/>
          <w:szCs w:val="24"/>
          <w:highlight w:val="yellow"/>
        </w:rPr>
        <w:t xml:space="preserve"> Duality with coefficient 1.</w:t>
      </w:r>
      <w:r w:rsidR="001B2B31" w:rsidRPr="00BD17D7">
        <w:rPr>
          <w:rFonts w:asciiTheme="majorBidi" w:hAnsiTheme="majorBidi" w:cstheme="majorBidi"/>
          <w:color w:val="000000" w:themeColor="text1"/>
          <w:sz w:val="24"/>
          <w:szCs w:val="24"/>
          <w:highlight w:val="yellow"/>
        </w:rPr>
        <w:t>397</w:t>
      </w:r>
      <w:r w:rsidRPr="00BD17D7">
        <w:rPr>
          <w:rFonts w:asciiTheme="majorBidi" w:hAnsiTheme="majorBidi" w:cstheme="majorBidi"/>
          <w:color w:val="000000" w:themeColor="text1"/>
          <w:sz w:val="24"/>
          <w:szCs w:val="24"/>
          <w:highlight w:val="yellow"/>
        </w:rPr>
        <w:t>, Size with 2.</w:t>
      </w:r>
      <w:r w:rsidR="001B2B31" w:rsidRPr="00BD17D7">
        <w:rPr>
          <w:rFonts w:asciiTheme="majorBidi" w:hAnsiTheme="majorBidi" w:cstheme="majorBidi"/>
          <w:color w:val="000000" w:themeColor="text1"/>
          <w:sz w:val="24"/>
          <w:szCs w:val="24"/>
          <w:highlight w:val="yellow"/>
        </w:rPr>
        <w:t>562</w:t>
      </w:r>
      <w:r w:rsidRPr="00BD17D7">
        <w:rPr>
          <w:rFonts w:asciiTheme="majorBidi" w:hAnsiTheme="majorBidi" w:cstheme="majorBidi"/>
          <w:color w:val="000000" w:themeColor="text1"/>
          <w:sz w:val="24"/>
          <w:szCs w:val="24"/>
          <w:highlight w:val="yellow"/>
        </w:rPr>
        <w:t xml:space="preserve">, </w:t>
      </w:r>
      <w:proofErr w:type="spellStart"/>
      <w:r w:rsidR="001B2B31" w:rsidRPr="00BD17D7">
        <w:rPr>
          <w:rFonts w:asciiTheme="majorBidi" w:hAnsiTheme="majorBidi" w:cstheme="majorBidi"/>
          <w:color w:val="000000" w:themeColor="text1"/>
          <w:sz w:val="24"/>
          <w:szCs w:val="24"/>
          <w:highlight w:val="yellow"/>
        </w:rPr>
        <w:t>Intan</w:t>
      </w:r>
      <w:proofErr w:type="spellEnd"/>
      <w:r w:rsidRPr="00BD17D7">
        <w:rPr>
          <w:rFonts w:asciiTheme="majorBidi" w:hAnsiTheme="majorBidi" w:cstheme="majorBidi"/>
          <w:color w:val="000000" w:themeColor="text1"/>
          <w:sz w:val="24"/>
          <w:szCs w:val="24"/>
          <w:highlight w:val="yellow"/>
        </w:rPr>
        <w:t xml:space="preserve"> and BIG with coefficients </w:t>
      </w:r>
      <w:r w:rsidR="001B2B31" w:rsidRPr="00BD17D7">
        <w:rPr>
          <w:rFonts w:asciiTheme="majorBidi" w:hAnsiTheme="majorBidi" w:cstheme="majorBidi"/>
          <w:color w:val="000000" w:themeColor="text1"/>
          <w:sz w:val="24"/>
          <w:szCs w:val="24"/>
          <w:highlight w:val="yellow"/>
        </w:rPr>
        <w:t>0</w:t>
      </w:r>
      <w:r w:rsidRPr="00BD17D7">
        <w:rPr>
          <w:rFonts w:asciiTheme="majorBidi" w:hAnsiTheme="majorBidi" w:cstheme="majorBidi"/>
          <w:color w:val="000000" w:themeColor="text1"/>
          <w:sz w:val="24"/>
          <w:szCs w:val="24"/>
          <w:highlight w:val="yellow"/>
        </w:rPr>
        <w:t>.</w:t>
      </w:r>
      <w:r w:rsidR="001B2B31" w:rsidRPr="00BD17D7">
        <w:rPr>
          <w:rFonts w:asciiTheme="majorBidi" w:hAnsiTheme="majorBidi" w:cstheme="majorBidi"/>
          <w:color w:val="000000" w:themeColor="text1"/>
          <w:sz w:val="24"/>
          <w:szCs w:val="24"/>
          <w:highlight w:val="yellow"/>
        </w:rPr>
        <w:t>566</w:t>
      </w:r>
      <w:r w:rsidRPr="00BD17D7">
        <w:rPr>
          <w:rFonts w:asciiTheme="majorBidi" w:hAnsiTheme="majorBidi" w:cstheme="majorBidi"/>
          <w:color w:val="000000" w:themeColor="text1"/>
          <w:sz w:val="24"/>
          <w:szCs w:val="24"/>
          <w:highlight w:val="yellow"/>
        </w:rPr>
        <w:t xml:space="preserve"> and </w:t>
      </w:r>
      <w:r w:rsidR="001B2B31" w:rsidRPr="00BD17D7">
        <w:rPr>
          <w:rFonts w:asciiTheme="majorBidi" w:hAnsiTheme="majorBidi" w:cstheme="majorBidi"/>
          <w:color w:val="000000" w:themeColor="text1"/>
          <w:sz w:val="24"/>
          <w:szCs w:val="24"/>
          <w:highlight w:val="yellow"/>
        </w:rPr>
        <w:t>4</w:t>
      </w:r>
      <w:r w:rsidRPr="00BD17D7">
        <w:rPr>
          <w:rFonts w:asciiTheme="majorBidi" w:hAnsiTheme="majorBidi" w:cstheme="majorBidi"/>
          <w:color w:val="000000" w:themeColor="text1"/>
          <w:sz w:val="24"/>
          <w:szCs w:val="24"/>
          <w:highlight w:val="yellow"/>
        </w:rPr>
        <w:t>.</w:t>
      </w:r>
      <w:r w:rsidR="001B2B31" w:rsidRPr="00BD17D7">
        <w:rPr>
          <w:rFonts w:asciiTheme="majorBidi" w:hAnsiTheme="majorBidi" w:cstheme="majorBidi"/>
          <w:color w:val="000000" w:themeColor="text1"/>
          <w:sz w:val="24"/>
          <w:szCs w:val="24"/>
          <w:highlight w:val="yellow"/>
        </w:rPr>
        <w:t>839</w:t>
      </w:r>
      <w:r w:rsidRPr="00BD17D7">
        <w:rPr>
          <w:rFonts w:asciiTheme="majorBidi" w:hAnsiTheme="majorBidi" w:cstheme="majorBidi"/>
          <w:color w:val="000000" w:themeColor="text1"/>
          <w:sz w:val="24"/>
          <w:szCs w:val="24"/>
          <w:highlight w:val="yellow"/>
        </w:rPr>
        <w:t xml:space="preserve"> have positive impacts on auditor's opinion, respectively. R2 confirms that </w:t>
      </w:r>
      <w:r w:rsidR="001B2B31" w:rsidRPr="00BD17D7">
        <w:rPr>
          <w:rFonts w:asciiTheme="majorBidi" w:hAnsiTheme="majorBidi" w:cstheme="majorBidi"/>
          <w:color w:val="000000" w:themeColor="text1"/>
          <w:sz w:val="24"/>
          <w:szCs w:val="24"/>
          <w:highlight w:val="yellow"/>
        </w:rPr>
        <w:t>73</w:t>
      </w:r>
      <w:r w:rsidRPr="00BD17D7">
        <w:rPr>
          <w:rFonts w:asciiTheme="majorBidi" w:hAnsiTheme="majorBidi" w:cstheme="majorBidi"/>
          <w:color w:val="000000" w:themeColor="text1"/>
          <w:sz w:val="24"/>
          <w:szCs w:val="24"/>
          <w:highlight w:val="yellow"/>
        </w:rPr>
        <w:t xml:space="preserve">% of the auditor's opinion variability is explained by the independent, moderator, and control variables in </w:t>
      </w:r>
      <w:r w:rsidR="00E9049E" w:rsidRPr="00BD17D7">
        <w:rPr>
          <w:rFonts w:asciiTheme="majorBidi" w:hAnsiTheme="majorBidi" w:cstheme="majorBidi"/>
          <w:color w:val="000000" w:themeColor="text1"/>
          <w:sz w:val="24"/>
          <w:szCs w:val="24"/>
          <w:highlight w:val="yellow"/>
        </w:rPr>
        <w:t xml:space="preserve">the </w:t>
      </w:r>
      <w:r w:rsidR="001B2B31" w:rsidRPr="00BD17D7">
        <w:rPr>
          <w:rFonts w:asciiTheme="majorBidi" w:hAnsiTheme="majorBidi" w:cstheme="majorBidi"/>
          <w:color w:val="000000" w:themeColor="text1"/>
          <w:sz w:val="24"/>
          <w:szCs w:val="24"/>
          <w:highlight w:val="yellow"/>
        </w:rPr>
        <w:t>second model.</w:t>
      </w:r>
    </w:p>
    <w:p w14:paraId="1AD9CA60" w14:textId="19D5633E" w:rsidR="008A3CBE" w:rsidRPr="00BD17D7" w:rsidRDefault="008A3CBE" w:rsidP="0016661D">
      <w:pPr>
        <w:jc w:val="center"/>
        <w:rPr>
          <w:rFonts w:asciiTheme="majorBidi" w:hAnsiTheme="majorBidi" w:cstheme="majorBidi"/>
          <w:sz w:val="24"/>
          <w:szCs w:val="24"/>
          <w:highlight w:val="yellow"/>
        </w:rPr>
      </w:pPr>
      <w:r w:rsidRPr="00BD17D7">
        <w:rPr>
          <w:rFonts w:asciiTheme="majorBidi" w:hAnsiTheme="majorBidi" w:cstheme="majorBidi"/>
          <w:sz w:val="24"/>
          <w:szCs w:val="24"/>
          <w:highlight w:val="yellow"/>
        </w:rPr>
        <w:t xml:space="preserve">Table </w:t>
      </w:r>
      <w:r w:rsidR="0016661D" w:rsidRPr="00BD17D7">
        <w:rPr>
          <w:rFonts w:asciiTheme="majorBidi" w:hAnsiTheme="majorBidi" w:cstheme="majorBidi"/>
          <w:sz w:val="24"/>
          <w:szCs w:val="24"/>
          <w:highlight w:val="yellow"/>
        </w:rPr>
        <w:t>4</w:t>
      </w:r>
    </w:p>
    <w:p w14:paraId="30358B75" w14:textId="35C2B444" w:rsidR="008A3CBE" w:rsidRPr="00BD17D7" w:rsidRDefault="008A3CBE" w:rsidP="00037190">
      <w:pPr>
        <w:jc w:val="center"/>
        <w:rPr>
          <w:rFonts w:asciiTheme="majorBidi" w:hAnsiTheme="majorBidi" w:cstheme="majorBidi"/>
          <w:sz w:val="24"/>
          <w:szCs w:val="24"/>
          <w:highlight w:val="yellow"/>
        </w:rPr>
      </w:pPr>
      <w:r w:rsidRPr="00BD17D7">
        <w:rPr>
          <w:rFonts w:asciiTheme="majorBidi" w:hAnsiTheme="majorBidi" w:cstheme="majorBidi"/>
          <w:sz w:val="24"/>
          <w:szCs w:val="24"/>
          <w:highlight w:val="yellow"/>
        </w:rPr>
        <w:t xml:space="preserve">Regression results of </w:t>
      </w:r>
      <w:r w:rsidR="00037190" w:rsidRPr="00BD17D7">
        <w:rPr>
          <w:rFonts w:asciiTheme="majorBidi" w:hAnsiTheme="majorBidi" w:cstheme="majorBidi"/>
          <w:color w:val="000000" w:themeColor="text1"/>
          <w:sz w:val="24"/>
          <w:szCs w:val="24"/>
          <w:highlight w:val="yellow"/>
        </w:rPr>
        <w:t>hypothesis</w:t>
      </w:r>
      <w:r w:rsidR="00037190" w:rsidRPr="00BD17D7">
        <w:rPr>
          <w:rFonts w:asciiTheme="majorBidi" w:hAnsiTheme="majorBidi" w:cstheme="majorBidi"/>
          <w:sz w:val="24"/>
          <w:szCs w:val="24"/>
          <w:highlight w:val="yellow"/>
        </w:rPr>
        <w:t xml:space="preserve"> </w:t>
      </w:r>
      <w:r w:rsidRPr="00BD17D7">
        <w:rPr>
          <w:rFonts w:asciiTheme="majorBidi" w:hAnsiTheme="majorBidi" w:cstheme="majorBidi"/>
          <w:sz w:val="24"/>
          <w:szCs w:val="24"/>
          <w:highlight w:val="yellow"/>
        </w:rPr>
        <w:t xml:space="preserve">H1 </w:t>
      </w:r>
    </w:p>
    <w:tbl>
      <w:tblPr>
        <w:tblStyle w:val="TableGrid"/>
        <w:tblW w:w="9370" w:type="dxa"/>
        <w:tblLook w:val="04A0" w:firstRow="1" w:lastRow="0" w:firstColumn="1" w:lastColumn="0" w:noHBand="0" w:noVBand="1"/>
      </w:tblPr>
      <w:tblGrid>
        <w:gridCol w:w="1872"/>
        <w:gridCol w:w="1874"/>
        <w:gridCol w:w="1872"/>
        <w:gridCol w:w="1874"/>
        <w:gridCol w:w="1878"/>
      </w:tblGrid>
      <w:tr w:rsidR="006E4B3F" w:rsidRPr="00BD17D7" w14:paraId="4F07D5C2" w14:textId="77777777" w:rsidTr="008C53F0">
        <w:trPr>
          <w:trHeight w:val="268"/>
        </w:trPr>
        <w:tc>
          <w:tcPr>
            <w:tcW w:w="1872" w:type="dxa"/>
            <w:tcBorders>
              <w:top w:val="nil"/>
              <w:left w:val="nil"/>
              <w:bottom w:val="nil"/>
              <w:right w:val="nil"/>
            </w:tcBorders>
          </w:tcPr>
          <w:p w14:paraId="69EFDC40"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1874" w:type="dxa"/>
            <w:tcBorders>
              <w:top w:val="nil"/>
              <w:left w:val="nil"/>
              <w:bottom w:val="single" w:sz="4" w:space="0" w:color="auto"/>
              <w:right w:val="nil"/>
            </w:tcBorders>
            <w:vAlign w:val="center"/>
          </w:tcPr>
          <w:p w14:paraId="31E17418"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B</w:t>
            </w:r>
          </w:p>
        </w:tc>
        <w:tc>
          <w:tcPr>
            <w:tcW w:w="1872" w:type="dxa"/>
            <w:tcBorders>
              <w:top w:val="nil"/>
              <w:left w:val="nil"/>
              <w:bottom w:val="single" w:sz="4" w:space="0" w:color="auto"/>
              <w:right w:val="nil"/>
            </w:tcBorders>
            <w:vAlign w:val="center"/>
          </w:tcPr>
          <w:p w14:paraId="312F8553"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S.E</w:t>
            </w:r>
          </w:p>
        </w:tc>
        <w:tc>
          <w:tcPr>
            <w:tcW w:w="1874" w:type="dxa"/>
            <w:tcBorders>
              <w:top w:val="nil"/>
              <w:left w:val="nil"/>
              <w:bottom w:val="single" w:sz="4" w:space="0" w:color="auto"/>
              <w:right w:val="nil"/>
            </w:tcBorders>
            <w:vAlign w:val="center"/>
          </w:tcPr>
          <w:p w14:paraId="071A9B5F"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Wald</w:t>
            </w:r>
          </w:p>
        </w:tc>
        <w:tc>
          <w:tcPr>
            <w:tcW w:w="1878" w:type="dxa"/>
            <w:tcBorders>
              <w:top w:val="nil"/>
              <w:left w:val="nil"/>
              <w:bottom w:val="single" w:sz="4" w:space="0" w:color="auto"/>
              <w:right w:val="nil"/>
            </w:tcBorders>
            <w:vAlign w:val="center"/>
          </w:tcPr>
          <w:p w14:paraId="22C7334D"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Sig</w:t>
            </w:r>
          </w:p>
        </w:tc>
      </w:tr>
      <w:tr w:rsidR="006E4B3F" w:rsidRPr="00BD17D7" w14:paraId="64F1750B" w14:textId="77777777" w:rsidTr="008C53F0">
        <w:trPr>
          <w:trHeight w:val="268"/>
        </w:trPr>
        <w:tc>
          <w:tcPr>
            <w:tcW w:w="1872" w:type="dxa"/>
            <w:tcBorders>
              <w:top w:val="nil"/>
              <w:left w:val="nil"/>
              <w:bottom w:val="nil"/>
              <w:right w:val="nil"/>
            </w:tcBorders>
          </w:tcPr>
          <w:p w14:paraId="7AA04392"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CTA</w:t>
            </w:r>
          </w:p>
        </w:tc>
        <w:tc>
          <w:tcPr>
            <w:tcW w:w="1874" w:type="dxa"/>
            <w:tcBorders>
              <w:top w:val="single" w:sz="4" w:space="0" w:color="auto"/>
              <w:left w:val="nil"/>
              <w:bottom w:val="nil"/>
              <w:right w:val="nil"/>
            </w:tcBorders>
            <w:vAlign w:val="center"/>
          </w:tcPr>
          <w:p w14:paraId="714D3EE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7.783</w:t>
            </w:r>
          </w:p>
        </w:tc>
        <w:tc>
          <w:tcPr>
            <w:tcW w:w="1872" w:type="dxa"/>
            <w:tcBorders>
              <w:top w:val="single" w:sz="4" w:space="0" w:color="auto"/>
              <w:left w:val="nil"/>
              <w:bottom w:val="nil"/>
              <w:right w:val="nil"/>
            </w:tcBorders>
            <w:vAlign w:val="center"/>
          </w:tcPr>
          <w:p w14:paraId="3B7348B0"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1.773</w:t>
            </w:r>
          </w:p>
        </w:tc>
        <w:tc>
          <w:tcPr>
            <w:tcW w:w="1874" w:type="dxa"/>
            <w:tcBorders>
              <w:top w:val="single" w:sz="4" w:space="0" w:color="auto"/>
              <w:left w:val="nil"/>
              <w:bottom w:val="nil"/>
              <w:right w:val="nil"/>
            </w:tcBorders>
            <w:vAlign w:val="center"/>
          </w:tcPr>
          <w:p w14:paraId="50B84BE6"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10.030</w:t>
            </w:r>
          </w:p>
        </w:tc>
        <w:tc>
          <w:tcPr>
            <w:tcW w:w="1878" w:type="dxa"/>
            <w:tcBorders>
              <w:top w:val="single" w:sz="4" w:space="0" w:color="auto"/>
              <w:left w:val="nil"/>
              <w:bottom w:val="nil"/>
              <w:right w:val="nil"/>
            </w:tcBorders>
            <w:vAlign w:val="center"/>
          </w:tcPr>
          <w:p w14:paraId="494486B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0.002</w:t>
            </w:r>
          </w:p>
        </w:tc>
      </w:tr>
      <w:tr w:rsidR="006E4B3F" w:rsidRPr="00BD17D7" w14:paraId="6E45E164" w14:textId="77777777" w:rsidTr="008C53F0">
        <w:trPr>
          <w:trHeight w:val="268"/>
        </w:trPr>
        <w:tc>
          <w:tcPr>
            <w:tcW w:w="1872" w:type="dxa"/>
            <w:tcBorders>
              <w:top w:val="nil"/>
              <w:left w:val="nil"/>
              <w:bottom w:val="nil"/>
              <w:right w:val="nil"/>
            </w:tcBorders>
          </w:tcPr>
          <w:p w14:paraId="1E242148"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IND</w:t>
            </w:r>
          </w:p>
        </w:tc>
        <w:tc>
          <w:tcPr>
            <w:tcW w:w="1874" w:type="dxa"/>
            <w:tcBorders>
              <w:top w:val="nil"/>
              <w:left w:val="nil"/>
              <w:bottom w:val="nil"/>
              <w:right w:val="nil"/>
            </w:tcBorders>
            <w:vAlign w:val="center"/>
          </w:tcPr>
          <w:p w14:paraId="6B1D8B6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-9.363</w:t>
            </w:r>
          </w:p>
        </w:tc>
        <w:tc>
          <w:tcPr>
            <w:tcW w:w="1872" w:type="dxa"/>
            <w:tcBorders>
              <w:top w:val="nil"/>
              <w:left w:val="nil"/>
              <w:bottom w:val="nil"/>
              <w:right w:val="nil"/>
            </w:tcBorders>
            <w:vAlign w:val="center"/>
          </w:tcPr>
          <w:p w14:paraId="677A4D8D"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3.222</w:t>
            </w:r>
          </w:p>
        </w:tc>
        <w:tc>
          <w:tcPr>
            <w:tcW w:w="1874" w:type="dxa"/>
            <w:tcBorders>
              <w:top w:val="nil"/>
              <w:left w:val="nil"/>
              <w:bottom w:val="nil"/>
              <w:right w:val="nil"/>
            </w:tcBorders>
            <w:vAlign w:val="center"/>
          </w:tcPr>
          <w:p w14:paraId="59FE17B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8.445</w:t>
            </w:r>
          </w:p>
        </w:tc>
        <w:tc>
          <w:tcPr>
            <w:tcW w:w="1878" w:type="dxa"/>
            <w:tcBorders>
              <w:top w:val="nil"/>
              <w:left w:val="nil"/>
              <w:bottom w:val="nil"/>
              <w:right w:val="nil"/>
            </w:tcBorders>
            <w:vAlign w:val="center"/>
          </w:tcPr>
          <w:p w14:paraId="03E11DE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0.004</w:t>
            </w:r>
          </w:p>
        </w:tc>
      </w:tr>
      <w:tr w:rsidR="006E4B3F" w:rsidRPr="00BD17D7" w14:paraId="62FA0A40" w14:textId="77777777" w:rsidTr="008C53F0">
        <w:trPr>
          <w:trHeight w:val="268"/>
        </w:trPr>
        <w:tc>
          <w:tcPr>
            <w:tcW w:w="1872" w:type="dxa"/>
            <w:tcBorders>
              <w:top w:val="nil"/>
              <w:left w:val="nil"/>
              <w:bottom w:val="nil"/>
              <w:right w:val="nil"/>
            </w:tcBorders>
          </w:tcPr>
          <w:p w14:paraId="09E4A06F"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Duality</w:t>
            </w:r>
          </w:p>
        </w:tc>
        <w:tc>
          <w:tcPr>
            <w:tcW w:w="1874" w:type="dxa"/>
            <w:tcBorders>
              <w:top w:val="nil"/>
              <w:left w:val="nil"/>
              <w:bottom w:val="nil"/>
              <w:right w:val="nil"/>
            </w:tcBorders>
            <w:vAlign w:val="center"/>
          </w:tcPr>
          <w:p w14:paraId="22EB736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1.860</w:t>
            </w:r>
          </w:p>
        </w:tc>
        <w:tc>
          <w:tcPr>
            <w:tcW w:w="1872" w:type="dxa"/>
            <w:tcBorders>
              <w:top w:val="nil"/>
              <w:left w:val="nil"/>
              <w:bottom w:val="nil"/>
              <w:right w:val="nil"/>
            </w:tcBorders>
            <w:vAlign w:val="center"/>
          </w:tcPr>
          <w:p w14:paraId="3DB70F49"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0.876</w:t>
            </w:r>
          </w:p>
        </w:tc>
        <w:tc>
          <w:tcPr>
            <w:tcW w:w="1874" w:type="dxa"/>
            <w:tcBorders>
              <w:top w:val="nil"/>
              <w:left w:val="nil"/>
              <w:bottom w:val="nil"/>
              <w:right w:val="nil"/>
            </w:tcBorders>
            <w:vAlign w:val="center"/>
          </w:tcPr>
          <w:p w14:paraId="32D2275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4.505</w:t>
            </w:r>
          </w:p>
        </w:tc>
        <w:tc>
          <w:tcPr>
            <w:tcW w:w="1878" w:type="dxa"/>
            <w:tcBorders>
              <w:top w:val="nil"/>
              <w:left w:val="nil"/>
              <w:bottom w:val="nil"/>
              <w:right w:val="nil"/>
            </w:tcBorders>
            <w:vAlign w:val="center"/>
          </w:tcPr>
          <w:p w14:paraId="433BAA1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0.034</w:t>
            </w:r>
          </w:p>
        </w:tc>
      </w:tr>
      <w:tr w:rsidR="006E4B3F" w:rsidRPr="00BD17D7" w14:paraId="465512B9" w14:textId="77777777" w:rsidTr="008C53F0">
        <w:trPr>
          <w:trHeight w:val="284"/>
        </w:trPr>
        <w:tc>
          <w:tcPr>
            <w:tcW w:w="1872" w:type="dxa"/>
            <w:tcBorders>
              <w:top w:val="nil"/>
              <w:left w:val="nil"/>
              <w:bottom w:val="nil"/>
              <w:right w:val="nil"/>
            </w:tcBorders>
          </w:tcPr>
          <w:p w14:paraId="2D6832C9"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Size</w:t>
            </w:r>
          </w:p>
        </w:tc>
        <w:tc>
          <w:tcPr>
            <w:tcW w:w="1874" w:type="dxa"/>
            <w:tcBorders>
              <w:top w:val="nil"/>
              <w:left w:val="nil"/>
              <w:bottom w:val="nil"/>
              <w:right w:val="nil"/>
            </w:tcBorders>
            <w:vAlign w:val="center"/>
          </w:tcPr>
          <w:p w14:paraId="11711453"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6.072</w:t>
            </w:r>
          </w:p>
        </w:tc>
        <w:tc>
          <w:tcPr>
            <w:tcW w:w="1872" w:type="dxa"/>
            <w:tcBorders>
              <w:top w:val="nil"/>
              <w:left w:val="nil"/>
              <w:bottom w:val="nil"/>
              <w:right w:val="nil"/>
            </w:tcBorders>
            <w:vAlign w:val="center"/>
          </w:tcPr>
          <w:p w14:paraId="3A257CA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2.254</w:t>
            </w:r>
          </w:p>
        </w:tc>
        <w:tc>
          <w:tcPr>
            <w:tcW w:w="1874" w:type="dxa"/>
            <w:tcBorders>
              <w:top w:val="nil"/>
              <w:left w:val="nil"/>
              <w:bottom w:val="nil"/>
              <w:right w:val="nil"/>
            </w:tcBorders>
            <w:vAlign w:val="center"/>
          </w:tcPr>
          <w:p w14:paraId="4B2D18D2"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10.945</w:t>
            </w:r>
          </w:p>
        </w:tc>
        <w:tc>
          <w:tcPr>
            <w:tcW w:w="1878" w:type="dxa"/>
            <w:tcBorders>
              <w:top w:val="nil"/>
              <w:left w:val="nil"/>
              <w:bottom w:val="nil"/>
              <w:right w:val="nil"/>
            </w:tcBorders>
            <w:vAlign w:val="center"/>
          </w:tcPr>
          <w:p w14:paraId="1C1E0290"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0.006</w:t>
            </w:r>
          </w:p>
        </w:tc>
      </w:tr>
      <w:tr w:rsidR="006E4B3F" w:rsidRPr="00BD17D7" w14:paraId="0667AB89" w14:textId="77777777" w:rsidTr="008C53F0">
        <w:trPr>
          <w:trHeight w:val="268"/>
        </w:trPr>
        <w:tc>
          <w:tcPr>
            <w:tcW w:w="1872" w:type="dxa"/>
            <w:tcBorders>
              <w:top w:val="nil"/>
              <w:left w:val="nil"/>
              <w:bottom w:val="nil"/>
              <w:right w:val="nil"/>
            </w:tcBorders>
          </w:tcPr>
          <w:p w14:paraId="48BC16D4"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ROA</w:t>
            </w:r>
          </w:p>
        </w:tc>
        <w:tc>
          <w:tcPr>
            <w:tcW w:w="1874" w:type="dxa"/>
            <w:tcBorders>
              <w:top w:val="nil"/>
              <w:left w:val="nil"/>
              <w:bottom w:val="nil"/>
              <w:right w:val="nil"/>
            </w:tcBorders>
            <w:vAlign w:val="center"/>
          </w:tcPr>
          <w:p w14:paraId="72C491C3"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-5.163</w:t>
            </w:r>
          </w:p>
        </w:tc>
        <w:tc>
          <w:tcPr>
            <w:tcW w:w="1872" w:type="dxa"/>
            <w:tcBorders>
              <w:top w:val="nil"/>
              <w:left w:val="nil"/>
              <w:bottom w:val="nil"/>
              <w:right w:val="nil"/>
            </w:tcBorders>
            <w:vAlign w:val="center"/>
          </w:tcPr>
          <w:p w14:paraId="7A18E25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3.003</w:t>
            </w:r>
          </w:p>
        </w:tc>
        <w:tc>
          <w:tcPr>
            <w:tcW w:w="1874" w:type="dxa"/>
            <w:tcBorders>
              <w:top w:val="nil"/>
              <w:left w:val="nil"/>
              <w:bottom w:val="nil"/>
              <w:right w:val="nil"/>
            </w:tcBorders>
            <w:vAlign w:val="center"/>
          </w:tcPr>
          <w:p w14:paraId="27B12C2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2.956</w:t>
            </w:r>
          </w:p>
        </w:tc>
        <w:tc>
          <w:tcPr>
            <w:tcW w:w="1878" w:type="dxa"/>
            <w:tcBorders>
              <w:top w:val="nil"/>
              <w:left w:val="nil"/>
              <w:bottom w:val="nil"/>
              <w:right w:val="nil"/>
            </w:tcBorders>
            <w:vAlign w:val="center"/>
          </w:tcPr>
          <w:p w14:paraId="52F7C5A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0.086</w:t>
            </w:r>
          </w:p>
        </w:tc>
      </w:tr>
      <w:tr w:rsidR="006E4B3F" w:rsidRPr="00BD17D7" w14:paraId="114D8546" w14:textId="77777777" w:rsidTr="008C53F0">
        <w:trPr>
          <w:trHeight w:val="268"/>
        </w:trPr>
        <w:tc>
          <w:tcPr>
            <w:tcW w:w="1872" w:type="dxa"/>
            <w:tcBorders>
              <w:top w:val="nil"/>
              <w:left w:val="nil"/>
              <w:bottom w:val="nil"/>
              <w:right w:val="nil"/>
            </w:tcBorders>
          </w:tcPr>
          <w:p w14:paraId="522C5BE5"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LEV</w:t>
            </w:r>
          </w:p>
        </w:tc>
        <w:tc>
          <w:tcPr>
            <w:tcW w:w="1874" w:type="dxa"/>
            <w:tcBorders>
              <w:top w:val="nil"/>
              <w:left w:val="nil"/>
              <w:bottom w:val="nil"/>
              <w:right w:val="nil"/>
            </w:tcBorders>
            <w:vAlign w:val="center"/>
          </w:tcPr>
          <w:p w14:paraId="0ACE31B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-0.904</w:t>
            </w:r>
          </w:p>
        </w:tc>
        <w:tc>
          <w:tcPr>
            <w:tcW w:w="1872" w:type="dxa"/>
            <w:tcBorders>
              <w:top w:val="nil"/>
              <w:left w:val="nil"/>
              <w:bottom w:val="nil"/>
              <w:right w:val="nil"/>
            </w:tcBorders>
            <w:vAlign w:val="center"/>
          </w:tcPr>
          <w:p w14:paraId="235604E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2.843</w:t>
            </w:r>
          </w:p>
        </w:tc>
        <w:tc>
          <w:tcPr>
            <w:tcW w:w="1874" w:type="dxa"/>
            <w:tcBorders>
              <w:top w:val="nil"/>
              <w:left w:val="nil"/>
              <w:bottom w:val="nil"/>
              <w:right w:val="nil"/>
            </w:tcBorders>
            <w:vAlign w:val="center"/>
          </w:tcPr>
          <w:p w14:paraId="36081B4B"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0.101</w:t>
            </w:r>
          </w:p>
        </w:tc>
        <w:tc>
          <w:tcPr>
            <w:tcW w:w="1878" w:type="dxa"/>
            <w:tcBorders>
              <w:top w:val="nil"/>
              <w:left w:val="nil"/>
              <w:bottom w:val="nil"/>
              <w:right w:val="nil"/>
            </w:tcBorders>
            <w:vAlign w:val="center"/>
          </w:tcPr>
          <w:p w14:paraId="700BD73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0.750</w:t>
            </w:r>
          </w:p>
        </w:tc>
      </w:tr>
      <w:tr w:rsidR="006E4B3F" w:rsidRPr="00BD17D7" w14:paraId="28118254" w14:textId="77777777" w:rsidTr="008C53F0">
        <w:trPr>
          <w:trHeight w:val="268"/>
        </w:trPr>
        <w:tc>
          <w:tcPr>
            <w:tcW w:w="1872" w:type="dxa"/>
            <w:tcBorders>
              <w:top w:val="nil"/>
              <w:left w:val="nil"/>
              <w:bottom w:val="nil"/>
              <w:right w:val="nil"/>
            </w:tcBorders>
          </w:tcPr>
          <w:p w14:paraId="65FE8BCB"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MTB</w:t>
            </w:r>
          </w:p>
        </w:tc>
        <w:tc>
          <w:tcPr>
            <w:tcW w:w="1874" w:type="dxa"/>
            <w:tcBorders>
              <w:top w:val="nil"/>
              <w:left w:val="nil"/>
              <w:bottom w:val="nil"/>
              <w:right w:val="nil"/>
            </w:tcBorders>
            <w:vAlign w:val="center"/>
          </w:tcPr>
          <w:p w14:paraId="7145E1E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-2.026</w:t>
            </w:r>
          </w:p>
        </w:tc>
        <w:tc>
          <w:tcPr>
            <w:tcW w:w="1872" w:type="dxa"/>
            <w:tcBorders>
              <w:top w:val="nil"/>
              <w:left w:val="nil"/>
              <w:bottom w:val="nil"/>
              <w:right w:val="nil"/>
            </w:tcBorders>
            <w:vAlign w:val="center"/>
          </w:tcPr>
          <w:p w14:paraId="20F76D9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2.113</w:t>
            </w:r>
          </w:p>
        </w:tc>
        <w:tc>
          <w:tcPr>
            <w:tcW w:w="1874" w:type="dxa"/>
            <w:tcBorders>
              <w:top w:val="nil"/>
              <w:left w:val="nil"/>
              <w:bottom w:val="nil"/>
              <w:right w:val="nil"/>
            </w:tcBorders>
            <w:vAlign w:val="center"/>
          </w:tcPr>
          <w:p w14:paraId="4F345FF9"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8.845</w:t>
            </w:r>
          </w:p>
        </w:tc>
        <w:tc>
          <w:tcPr>
            <w:tcW w:w="1878" w:type="dxa"/>
            <w:tcBorders>
              <w:top w:val="nil"/>
              <w:left w:val="nil"/>
              <w:bottom w:val="nil"/>
              <w:right w:val="nil"/>
            </w:tcBorders>
            <w:vAlign w:val="center"/>
          </w:tcPr>
          <w:p w14:paraId="2752A1A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0.003</w:t>
            </w:r>
          </w:p>
        </w:tc>
      </w:tr>
      <w:tr w:rsidR="006E4B3F" w:rsidRPr="00BD17D7" w14:paraId="76B5258E" w14:textId="77777777" w:rsidTr="008C53F0">
        <w:trPr>
          <w:trHeight w:val="268"/>
        </w:trPr>
        <w:tc>
          <w:tcPr>
            <w:tcW w:w="1872" w:type="dxa"/>
            <w:tcBorders>
              <w:top w:val="nil"/>
              <w:left w:val="nil"/>
              <w:bottom w:val="nil"/>
              <w:right w:val="nil"/>
            </w:tcBorders>
          </w:tcPr>
          <w:p w14:paraId="42C19C7E"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FDISTER</w:t>
            </w:r>
          </w:p>
        </w:tc>
        <w:tc>
          <w:tcPr>
            <w:tcW w:w="1874" w:type="dxa"/>
            <w:tcBorders>
              <w:top w:val="nil"/>
              <w:left w:val="nil"/>
              <w:bottom w:val="nil"/>
              <w:right w:val="nil"/>
            </w:tcBorders>
            <w:vAlign w:val="center"/>
          </w:tcPr>
          <w:p w14:paraId="189D6EA9"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1.271</w:t>
            </w:r>
          </w:p>
        </w:tc>
        <w:tc>
          <w:tcPr>
            <w:tcW w:w="1872" w:type="dxa"/>
            <w:tcBorders>
              <w:top w:val="nil"/>
              <w:left w:val="nil"/>
              <w:bottom w:val="nil"/>
              <w:right w:val="nil"/>
            </w:tcBorders>
            <w:vAlign w:val="center"/>
          </w:tcPr>
          <w:p w14:paraId="6AAAF78C"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0.753</w:t>
            </w:r>
          </w:p>
        </w:tc>
        <w:tc>
          <w:tcPr>
            <w:tcW w:w="1874" w:type="dxa"/>
            <w:tcBorders>
              <w:top w:val="nil"/>
              <w:left w:val="nil"/>
              <w:bottom w:val="nil"/>
              <w:right w:val="nil"/>
            </w:tcBorders>
            <w:vAlign w:val="center"/>
          </w:tcPr>
          <w:p w14:paraId="3BE7B1D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2.850</w:t>
            </w:r>
          </w:p>
        </w:tc>
        <w:tc>
          <w:tcPr>
            <w:tcW w:w="1878" w:type="dxa"/>
            <w:tcBorders>
              <w:top w:val="nil"/>
              <w:left w:val="nil"/>
              <w:bottom w:val="nil"/>
              <w:right w:val="nil"/>
            </w:tcBorders>
            <w:vAlign w:val="center"/>
          </w:tcPr>
          <w:p w14:paraId="429F5CB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0.091</w:t>
            </w:r>
          </w:p>
        </w:tc>
      </w:tr>
      <w:tr w:rsidR="006E4B3F" w:rsidRPr="00BD17D7" w14:paraId="03A25FAF" w14:textId="77777777" w:rsidTr="008C53F0">
        <w:trPr>
          <w:trHeight w:val="268"/>
        </w:trPr>
        <w:tc>
          <w:tcPr>
            <w:tcW w:w="1872" w:type="dxa"/>
            <w:tcBorders>
              <w:top w:val="nil"/>
              <w:left w:val="nil"/>
              <w:bottom w:val="nil"/>
              <w:right w:val="nil"/>
            </w:tcBorders>
          </w:tcPr>
          <w:p w14:paraId="1E6EBE8F"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roofErr w:type="spellStart"/>
            <w:r w:rsidRPr="00BD17D7">
              <w:rPr>
                <w:rFonts w:asciiTheme="majorBidi" w:hAnsiTheme="majorBidi" w:cstheme="majorBidi"/>
                <w:sz w:val="20"/>
                <w:szCs w:val="20"/>
                <w:highlight w:val="yellow"/>
              </w:rPr>
              <w:t>Intan</w:t>
            </w:r>
            <w:proofErr w:type="spellEnd"/>
          </w:p>
        </w:tc>
        <w:tc>
          <w:tcPr>
            <w:tcW w:w="1874" w:type="dxa"/>
            <w:tcBorders>
              <w:top w:val="nil"/>
              <w:left w:val="nil"/>
              <w:bottom w:val="nil"/>
              <w:right w:val="nil"/>
            </w:tcBorders>
            <w:vAlign w:val="center"/>
          </w:tcPr>
          <w:p w14:paraId="19914519"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1.012</w:t>
            </w:r>
          </w:p>
        </w:tc>
        <w:tc>
          <w:tcPr>
            <w:tcW w:w="1872" w:type="dxa"/>
            <w:tcBorders>
              <w:top w:val="nil"/>
              <w:left w:val="nil"/>
              <w:bottom w:val="nil"/>
              <w:right w:val="nil"/>
            </w:tcBorders>
            <w:vAlign w:val="center"/>
          </w:tcPr>
          <w:p w14:paraId="75149F0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0.410</w:t>
            </w:r>
          </w:p>
        </w:tc>
        <w:tc>
          <w:tcPr>
            <w:tcW w:w="1874" w:type="dxa"/>
            <w:tcBorders>
              <w:top w:val="nil"/>
              <w:left w:val="nil"/>
              <w:bottom w:val="nil"/>
              <w:right w:val="nil"/>
            </w:tcBorders>
            <w:vAlign w:val="center"/>
          </w:tcPr>
          <w:p w14:paraId="3326C729"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6.100</w:t>
            </w:r>
          </w:p>
        </w:tc>
        <w:tc>
          <w:tcPr>
            <w:tcW w:w="1878" w:type="dxa"/>
            <w:tcBorders>
              <w:top w:val="nil"/>
              <w:left w:val="nil"/>
              <w:bottom w:val="nil"/>
              <w:right w:val="nil"/>
            </w:tcBorders>
            <w:vAlign w:val="center"/>
          </w:tcPr>
          <w:p w14:paraId="71B33919"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0.014</w:t>
            </w:r>
          </w:p>
        </w:tc>
      </w:tr>
      <w:tr w:rsidR="006E4B3F" w:rsidRPr="00BD17D7" w14:paraId="63CE48E6" w14:textId="77777777" w:rsidTr="008C53F0">
        <w:trPr>
          <w:trHeight w:val="268"/>
        </w:trPr>
        <w:tc>
          <w:tcPr>
            <w:tcW w:w="1872" w:type="dxa"/>
            <w:tcBorders>
              <w:top w:val="nil"/>
              <w:left w:val="nil"/>
              <w:bottom w:val="nil"/>
              <w:right w:val="nil"/>
            </w:tcBorders>
          </w:tcPr>
          <w:p w14:paraId="073D69C3"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BIG</w:t>
            </w:r>
          </w:p>
        </w:tc>
        <w:tc>
          <w:tcPr>
            <w:tcW w:w="1874" w:type="dxa"/>
            <w:tcBorders>
              <w:top w:val="nil"/>
              <w:left w:val="nil"/>
              <w:bottom w:val="nil"/>
              <w:right w:val="nil"/>
            </w:tcBorders>
            <w:vAlign w:val="center"/>
          </w:tcPr>
          <w:p w14:paraId="5A0EFF42"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2.949</w:t>
            </w:r>
          </w:p>
        </w:tc>
        <w:tc>
          <w:tcPr>
            <w:tcW w:w="1872" w:type="dxa"/>
            <w:tcBorders>
              <w:top w:val="nil"/>
              <w:left w:val="nil"/>
              <w:bottom w:val="nil"/>
              <w:right w:val="nil"/>
            </w:tcBorders>
            <w:vAlign w:val="center"/>
          </w:tcPr>
          <w:p w14:paraId="0C63614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1.376</w:t>
            </w:r>
          </w:p>
        </w:tc>
        <w:tc>
          <w:tcPr>
            <w:tcW w:w="1874" w:type="dxa"/>
            <w:tcBorders>
              <w:top w:val="nil"/>
              <w:left w:val="nil"/>
              <w:bottom w:val="nil"/>
              <w:right w:val="nil"/>
            </w:tcBorders>
            <w:vAlign w:val="center"/>
          </w:tcPr>
          <w:p w14:paraId="5B9742D2"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4.593</w:t>
            </w:r>
          </w:p>
        </w:tc>
        <w:tc>
          <w:tcPr>
            <w:tcW w:w="1878" w:type="dxa"/>
            <w:tcBorders>
              <w:top w:val="nil"/>
              <w:left w:val="nil"/>
              <w:bottom w:val="nil"/>
              <w:right w:val="nil"/>
            </w:tcBorders>
            <w:vAlign w:val="center"/>
          </w:tcPr>
          <w:p w14:paraId="54EB595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0.032</w:t>
            </w:r>
          </w:p>
        </w:tc>
      </w:tr>
      <w:tr w:rsidR="006E4B3F" w:rsidRPr="00BD17D7" w14:paraId="62027D94" w14:textId="77777777" w:rsidTr="008C53F0">
        <w:trPr>
          <w:trHeight w:val="268"/>
        </w:trPr>
        <w:tc>
          <w:tcPr>
            <w:tcW w:w="1872" w:type="dxa"/>
            <w:tcBorders>
              <w:top w:val="nil"/>
              <w:left w:val="nil"/>
              <w:bottom w:val="nil"/>
              <w:right w:val="nil"/>
            </w:tcBorders>
          </w:tcPr>
          <w:p w14:paraId="7BCF7C8A"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w:t>
            </w:r>
          </w:p>
        </w:tc>
        <w:tc>
          <w:tcPr>
            <w:tcW w:w="1874" w:type="dxa"/>
            <w:tcBorders>
              <w:top w:val="nil"/>
              <w:left w:val="nil"/>
              <w:bottom w:val="single" w:sz="4" w:space="0" w:color="auto"/>
              <w:right w:val="nil"/>
            </w:tcBorders>
            <w:vAlign w:val="center"/>
          </w:tcPr>
          <w:p w14:paraId="61E9A3E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-4.887</w:t>
            </w:r>
          </w:p>
        </w:tc>
        <w:tc>
          <w:tcPr>
            <w:tcW w:w="1872" w:type="dxa"/>
            <w:tcBorders>
              <w:top w:val="nil"/>
              <w:left w:val="nil"/>
              <w:bottom w:val="single" w:sz="4" w:space="0" w:color="auto"/>
              <w:right w:val="nil"/>
            </w:tcBorders>
            <w:vAlign w:val="center"/>
          </w:tcPr>
          <w:p w14:paraId="5B42CD9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1.693</w:t>
            </w:r>
          </w:p>
        </w:tc>
        <w:tc>
          <w:tcPr>
            <w:tcW w:w="1874" w:type="dxa"/>
            <w:tcBorders>
              <w:top w:val="nil"/>
              <w:left w:val="nil"/>
              <w:bottom w:val="single" w:sz="4" w:space="0" w:color="auto"/>
              <w:right w:val="nil"/>
            </w:tcBorders>
            <w:vAlign w:val="center"/>
          </w:tcPr>
          <w:p w14:paraId="2CD5AB17"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8.320</w:t>
            </w:r>
          </w:p>
        </w:tc>
        <w:tc>
          <w:tcPr>
            <w:tcW w:w="1878" w:type="dxa"/>
            <w:tcBorders>
              <w:top w:val="nil"/>
              <w:left w:val="nil"/>
              <w:bottom w:val="nil"/>
              <w:right w:val="nil"/>
            </w:tcBorders>
            <w:vAlign w:val="center"/>
          </w:tcPr>
          <w:p w14:paraId="1C1162A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0.004</w:t>
            </w:r>
          </w:p>
        </w:tc>
      </w:tr>
      <w:tr w:rsidR="006E4B3F" w:rsidRPr="00BD17D7" w14:paraId="35776559" w14:textId="77777777" w:rsidTr="008C53F0">
        <w:trPr>
          <w:trHeight w:val="268"/>
        </w:trPr>
        <w:tc>
          <w:tcPr>
            <w:tcW w:w="1872" w:type="dxa"/>
            <w:tcBorders>
              <w:top w:val="nil"/>
              <w:left w:val="nil"/>
              <w:bottom w:val="nil"/>
              <w:right w:val="nil"/>
            </w:tcBorders>
          </w:tcPr>
          <w:p w14:paraId="14987999"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Chi-square</w:t>
            </w:r>
          </w:p>
        </w:tc>
        <w:tc>
          <w:tcPr>
            <w:tcW w:w="1874" w:type="dxa"/>
            <w:vMerge w:val="restart"/>
            <w:tcBorders>
              <w:top w:val="single" w:sz="4" w:space="0" w:color="auto"/>
              <w:left w:val="nil"/>
              <w:right w:val="nil"/>
            </w:tcBorders>
          </w:tcPr>
          <w:p w14:paraId="387DAC76"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3746" w:type="dxa"/>
            <w:gridSpan w:val="2"/>
            <w:vMerge w:val="restart"/>
            <w:tcBorders>
              <w:top w:val="single" w:sz="4" w:space="0" w:color="auto"/>
              <w:left w:val="nil"/>
              <w:right w:val="nil"/>
            </w:tcBorders>
          </w:tcPr>
          <w:p w14:paraId="484E0874"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33.392</w:t>
            </w:r>
          </w:p>
          <w:p w14:paraId="74A71EF5"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10</w:t>
            </w:r>
          </w:p>
        </w:tc>
        <w:tc>
          <w:tcPr>
            <w:tcW w:w="1878" w:type="dxa"/>
            <w:vMerge w:val="restart"/>
            <w:tcBorders>
              <w:top w:val="single" w:sz="4" w:space="0" w:color="auto"/>
              <w:left w:val="nil"/>
              <w:right w:val="nil"/>
            </w:tcBorders>
          </w:tcPr>
          <w:p w14:paraId="4A5B8E85"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r>
      <w:tr w:rsidR="006E4B3F" w:rsidRPr="00BD17D7" w14:paraId="538C970E" w14:textId="77777777" w:rsidTr="008C53F0">
        <w:trPr>
          <w:trHeight w:val="268"/>
        </w:trPr>
        <w:tc>
          <w:tcPr>
            <w:tcW w:w="1872" w:type="dxa"/>
            <w:tcBorders>
              <w:top w:val="nil"/>
              <w:left w:val="nil"/>
              <w:bottom w:val="nil"/>
              <w:right w:val="nil"/>
            </w:tcBorders>
          </w:tcPr>
          <w:p w14:paraId="4077E9CA"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roofErr w:type="spellStart"/>
            <w:r w:rsidRPr="00BD17D7">
              <w:rPr>
                <w:rFonts w:asciiTheme="majorBidi" w:hAnsiTheme="majorBidi" w:cstheme="majorBidi"/>
                <w:sz w:val="20"/>
                <w:szCs w:val="20"/>
                <w:highlight w:val="yellow"/>
              </w:rPr>
              <w:t>df</w:t>
            </w:r>
            <w:proofErr w:type="spellEnd"/>
          </w:p>
        </w:tc>
        <w:tc>
          <w:tcPr>
            <w:tcW w:w="1874" w:type="dxa"/>
            <w:vMerge/>
            <w:tcBorders>
              <w:left w:val="nil"/>
              <w:bottom w:val="nil"/>
              <w:right w:val="nil"/>
            </w:tcBorders>
          </w:tcPr>
          <w:p w14:paraId="5350B7C8"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3746" w:type="dxa"/>
            <w:gridSpan w:val="2"/>
            <w:vMerge/>
            <w:tcBorders>
              <w:left w:val="nil"/>
              <w:bottom w:val="nil"/>
              <w:right w:val="nil"/>
            </w:tcBorders>
          </w:tcPr>
          <w:p w14:paraId="5AA765D8" w14:textId="77777777" w:rsidR="006E4B3F" w:rsidRPr="00BD17D7" w:rsidDel="00B0055E"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1878" w:type="dxa"/>
            <w:vMerge/>
            <w:tcBorders>
              <w:left w:val="nil"/>
              <w:bottom w:val="nil"/>
              <w:right w:val="nil"/>
            </w:tcBorders>
          </w:tcPr>
          <w:p w14:paraId="62FB08C7"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r>
      <w:tr w:rsidR="006E4B3F" w:rsidRPr="00BD17D7" w14:paraId="4BFA41FB" w14:textId="77777777" w:rsidTr="008C53F0">
        <w:trPr>
          <w:trHeight w:val="268"/>
        </w:trPr>
        <w:tc>
          <w:tcPr>
            <w:tcW w:w="1872" w:type="dxa"/>
            <w:tcBorders>
              <w:top w:val="nil"/>
              <w:left w:val="nil"/>
              <w:bottom w:val="nil"/>
              <w:right w:val="nil"/>
            </w:tcBorders>
          </w:tcPr>
          <w:p w14:paraId="538BC8FB"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Sig</w:t>
            </w:r>
          </w:p>
        </w:tc>
        <w:tc>
          <w:tcPr>
            <w:tcW w:w="1874" w:type="dxa"/>
            <w:tcBorders>
              <w:top w:val="nil"/>
              <w:left w:val="nil"/>
              <w:bottom w:val="nil"/>
              <w:right w:val="nil"/>
            </w:tcBorders>
          </w:tcPr>
          <w:p w14:paraId="34AA174E"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3746" w:type="dxa"/>
            <w:gridSpan w:val="2"/>
            <w:tcBorders>
              <w:top w:val="nil"/>
              <w:left w:val="nil"/>
              <w:bottom w:val="nil"/>
              <w:right w:val="nil"/>
            </w:tcBorders>
          </w:tcPr>
          <w:p w14:paraId="7C4CE82B"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0.000</w:t>
            </w:r>
          </w:p>
        </w:tc>
        <w:tc>
          <w:tcPr>
            <w:tcW w:w="1878" w:type="dxa"/>
            <w:tcBorders>
              <w:top w:val="nil"/>
              <w:left w:val="nil"/>
              <w:bottom w:val="nil"/>
              <w:right w:val="nil"/>
            </w:tcBorders>
          </w:tcPr>
          <w:p w14:paraId="2D73BBD9"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r>
      <w:tr w:rsidR="006E4B3F" w:rsidRPr="00BD17D7" w14:paraId="601A25E4" w14:textId="77777777" w:rsidTr="008C53F0">
        <w:trPr>
          <w:trHeight w:val="548"/>
        </w:trPr>
        <w:tc>
          <w:tcPr>
            <w:tcW w:w="3746" w:type="dxa"/>
            <w:gridSpan w:val="2"/>
            <w:tcBorders>
              <w:top w:val="nil"/>
              <w:left w:val="nil"/>
              <w:right w:val="nil"/>
            </w:tcBorders>
          </w:tcPr>
          <w:p w14:paraId="5AC22554"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Cox &amp; Snell R Square</w:t>
            </w:r>
          </w:p>
          <w:p w14:paraId="651EFDFA"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roofErr w:type="spellStart"/>
            <w:r w:rsidRPr="00BD17D7">
              <w:rPr>
                <w:rFonts w:asciiTheme="majorBidi" w:hAnsiTheme="majorBidi" w:cstheme="majorBidi"/>
                <w:sz w:val="20"/>
                <w:szCs w:val="20"/>
                <w:highlight w:val="yellow"/>
              </w:rPr>
              <w:t>NagelkerkeR</w:t>
            </w:r>
            <w:proofErr w:type="spellEnd"/>
            <w:r w:rsidRPr="00BD17D7">
              <w:rPr>
                <w:rFonts w:asciiTheme="majorBidi" w:hAnsiTheme="majorBidi" w:cstheme="majorBidi"/>
                <w:sz w:val="20"/>
                <w:szCs w:val="20"/>
                <w:highlight w:val="yellow"/>
              </w:rPr>
              <w:t xml:space="preserve"> Square</w:t>
            </w:r>
          </w:p>
        </w:tc>
        <w:tc>
          <w:tcPr>
            <w:tcW w:w="3746" w:type="dxa"/>
            <w:gridSpan w:val="2"/>
            <w:tcBorders>
              <w:top w:val="nil"/>
              <w:left w:val="nil"/>
              <w:right w:val="nil"/>
            </w:tcBorders>
          </w:tcPr>
          <w:p w14:paraId="71024053"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0.623</w:t>
            </w:r>
          </w:p>
          <w:p w14:paraId="7E6AAE8E"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0.834</w:t>
            </w:r>
          </w:p>
        </w:tc>
        <w:tc>
          <w:tcPr>
            <w:tcW w:w="1878" w:type="dxa"/>
            <w:tcBorders>
              <w:top w:val="nil"/>
              <w:left w:val="nil"/>
              <w:right w:val="nil"/>
            </w:tcBorders>
          </w:tcPr>
          <w:p w14:paraId="5DB767E8"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r>
    </w:tbl>
    <w:p w14:paraId="0C9860AB" w14:textId="5C4792EE" w:rsidR="00037190" w:rsidRPr="00BD17D7" w:rsidRDefault="00037190" w:rsidP="00C70D61">
      <w:pPr>
        <w:rPr>
          <w:rFonts w:asciiTheme="majorBidi" w:hAnsiTheme="majorBidi" w:cstheme="majorBidi"/>
          <w:sz w:val="24"/>
          <w:szCs w:val="24"/>
          <w:highlight w:val="yellow"/>
        </w:rPr>
      </w:pPr>
    </w:p>
    <w:p w14:paraId="0CF98D2D" w14:textId="69288716" w:rsidR="00C70D61" w:rsidRPr="00BD17D7" w:rsidRDefault="00C70D61" w:rsidP="0016661D">
      <w:pPr>
        <w:jc w:val="center"/>
        <w:rPr>
          <w:rFonts w:asciiTheme="majorBidi" w:hAnsiTheme="majorBidi" w:cstheme="majorBidi"/>
          <w:sz w:val="24"/>
          <w:szCs w:val="24"/>
          <w:highlight w:val="yellow"/>
        </w:rPr>
      </w:pPr>
      <w:r w:rsidRPr="00BD17D7">
        <w:rPr>
          <w:rFonts w:asciiTheme="majorBidi" w:hAnsiTheme="majorBidi" w:cstheme="majorBidi"/>
          <w:sz w:val="24"/>
          <w:szCs w:val="24"/>
          <w:highlight w:val="yellow"/>
        </w:rPr>
        <w:t xml:space="preserve">Table </w:t>
      </w:r>
      <w:r w:rsidR="0016661D" w:rsidRPr="00BD17D7">
        <w:rPr>
          <w:rFonts w:asciiTheme="majorBidi" w:hAnsiTheme="majorBidi" w:cstheme="majorBidi"/>
          <w:sz w:val="24"/>
          <w:szCs w:val="24"/>
          <w:highlight w:val="yellow"/>
        </w:rPr>
        <w:t>5</w:t>
      </w:r>
    </w:p>
    <w:p w14:paraId="0B5A6798" w14:textId="77777777" w:rsidR="006E4B3F" w:rsidRPr="00BD17D7" w:rsidRDefault="00C70D61" w:rsidP="00C70D61">
      <w:pPr>
        <w:jc w:val="center"/>
        <w:rPr>
          <w:rFonts w:asciiTheme="majorBidi" w:hAnsiTheme="majorBidi" w:cstheme="majorBidi"/>
          <w:sz w:val="24"/>
          <w:szCs w:val="24"/>
          <w:highlight w:val="yellow"/>
        </w:rPr>
      </w:pPr>
      <w:r w:rsidRPr="00BD17D7">
        <w:rPr>
          <w:rFonts w:asciiTheme="majorBidi" w:hAnsiTheme="majorBidi" w:cstheme="majorBidi"/>
          <w:sz w:val="24"/>
          <w:szCs w:val="24"/>
          <w:highlight w:val="yellow"/>
        </w:rPr>
        <w:t xml:space="preserve">Regression results of </w:t>
      </w:r>
      <w:r w:rsidRPr="00BD17D7">
        <w:rPr>
          <w:rFonts w:asciiTheme="majorBidi" w:hAnsiTheme="majorBidi" w:cstheme="majorBidi"/>
          <w:color w:val="000000" w:themeColor="text1"/>
          <w:sz w:val="24"/>
          <w:szCs w:val="24"/>
          <w:highlight w:val="yellow"/>
        </w:rPr>
        <w:t>hypotheses</w:t>
      </w:r>
      <w:r w:rsidRPr="00BD17D7">
        <w:rPr>
          <w:rFonts w:asciiTheme="majorBidi" w:hAnsiTheme="majorBidi" w:cstheme="majorBidi"/>
          <w:sz w:val="24"/>
          <w:szCs w:val="24"/>
          <w:highlight w:val="yellow"/>
        </w:rPr>
        <w:t xml:space="preserve"> H2 and H3</w:t>
      </w:r>
    </w:p>
    <w:tbl>
      <w:tblPr>
        <w:tblStyle w:val="TableGrid"/>
        <w:tblW w:w="9370" w:type="dxa"/>
        <w:tblLook w:val="04A0" w:firstRow="1" w:lastRow="0" w:firstColumn="1" w:lastColumn="0" w:noHBand="0" w:noVBand="1"/>
      </w:tblPr>
      <w:tblGrid>
        <w:gridCol w:w="1872"/>
        <w:gridCol w:w="1874"/>
        <w:gridCol w:w="1872"/>
        <w:gridCol w:w="1874"/>
        <w:gridCol w:w="1878"/>
      </w:tblGrid>
      <w:tr w:rsidR="006E4B3F" w:rsidRPr="00BD17D7" w14:paraId="36EC5861" w14:textId="77777777" w:rsidTr="008C53F0">
        <w:trPr>
          <w:trHeight w:val="268"/>
        </w:trPr>
        <w:tc>
          <w:tcPr>
            <w:tcW w:w="1872" w:type="dxa"/>
            <w:tcBorders>
              <w:top w:val="nil"/>
              <w:left w:val="nil"/>
              <w:bottom w:val="nil"/>
              <w:right w:val="nil"/>
            </w:tcBorders>
          </w:tcPr>
          <w:p w14:paraId="0F077B04"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1874" w:type="dxa"/>
            <w:tcBorders>
              <w:top w:val="nil"/>
              <w:left w:val="nil"/>
              <w:bottom w:val="single" w:sz="4" w:space="0" w:color="auto"/>
              <w:right w:val="nil"/>
            </w:tcBorders>
            <w:vAlign w:val="center"/>
          </w:tcPr>
          <w:p w14:paraId="2D06F9C2"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B</w:t>
            </w:r>
          </w:p>
        </w:tc>
        <w:tc>
          <w:tcPr>
            <w:tcW w:w="1872" w:type="dxa"/>
            <w:tcBorders>
              <w:top w:val="nil"/>
              <w:left w:val="nil"/>
              <w:bottom w:val="single" w:sz="4" w:space="0" w:color="auto"/>
              <w:right w:val="nil"/>
            </w:tcBorders>
            <w:vAlign w:val="center"/>
          </w:tcPr>
          <w:p w14:paraId="7FA84EE1"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S.E</w:t>
            </w:r>
          </w:p>
        </w:tc>
        <w:tc>
          <w:tcPr>
            <w:tcW w:w="1874" w:type="dxa"/>
            <w:tcBorders>
              <w:top w:val="nil"/>
              <w:left w:val="nil"/>
              <w:bottom w:val="single" w:sz="4" w:space="0" w:color="auto"/>
              <w:right w:val="nil"/>
            </w:tcBorders>
            <w:vAlign w:val="center"/>
          </w:tcPr>
          <w:p w14:paraId="76E711E9"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Wald</w:t>
            </w:r>
          </w:p>
        </w:tc>
        <w:tc>
          <w:tcPr>
            <w:tcW w:w="1878" w:type="dxa"/>
            <w:tcBorders>
              <w:top w:val="nil"/>
              <w:left w:val="nil"/>
              <w:bottom w:val="single" w:sz="4" w:space="0" w:color="auto"/>
              <w:right w:val="nil"/>
            </w:tcBorders>
            <w:vAlign w:val="center"/>
          </w:tcPr>
          <w:p w14:paraId="19A7015F"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Sig</w:t>
            </w:r>
          </w:p>
        </w:tc>
      </w:tr>
      <w:tr w:rsidR="006E4B3F" w:rsidRPr="00BD17D7" w14:paraId="3737346E" w14:textId="77777777" w:rsidTr="008C53F0">
        <w:trPr>
          <w:trHeight w:val="268"/>
        </w:trPr>
        <w:tc>
          <w:tcPr>
            <w:tcW w:w="1872" w:type="dxa"/>
            <w:tcBorders>
              <w:top w:val="nil"/>
              <w:left w:val="nil"/>
              <w:bottom w:val="nil"/>
              <w:right w:val="nil"/>
            </w:tcBorders>
          </w:tcPr>
          <w:p w14:paraId="240743ED"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CTA</w:t>
            </w:r>
          </w:p>
        </w:tc>
        <w:tc>
          <w:tcPr>
            <w:tcW w:w="1874" w:type="dxa"/>
            <w:tcBorders>
              <w:top w:val="single" w:sz="4" w:space="0" w:color="auto"/>
              <w:left w:val="nil"/>
              <w:bottom w:val="nil"/>
              <w:right w:val="nil"/>
            </w:tcBorders>
            <w:vAlign w:val="center"/>
          </w:tcPr>
          <w:p w14:paraId="45C5A7E6"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5.492</w:t>
            </w:r>
          </w:p>
        </w:tc>
        <w:tc>
          <w:tcPr>
            <w:tcW w:w="1872" w:type="dxa"/>
            <w:tcBorders>
              <w:top w:val="single" w:sz="4" w:space="0" w:color="auto"/>
              <w:left w:val="nil"/>
              <w:bottom w:val="nil"/>
              <w:right w:val="nil"/>
            </w:tcBorders>
            <w:vAlign w:val="center"/>
          </w:tcPr>
          <w:p w14:paraId="4AC7035D"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1.885</w:t>
            </w:r>
          </w:p>
        </w:tc>
        <w:tc>
          <w:tcPr>
            <w:tcW w:w="1874" w:type="dxa"/>
            <w:tcBorders>
              <w:top w:val="single" w:sz="4" w:space="0" w:color="auto"/>
              <w:left w:val="nil"/>
              <w:bottom w:val="nil"/>
              <w:right w:val="nil"/>
            </w:tcBorders>
            <w:vAlign w:val="center"/>
          </w:tcPr>
          <w:p w14:paraId="4FD8D456"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7.652</w:t>
            </w:r>
          </w:p>
        </w:tc>
        <w:tc>
          <w:tcPr>
            <w:tcW w:w="1878" w:type="dxa"/>
            <w:tcBorders>
              <w:top w:val="single" w:sz="4" w:space="0" w:color="auto"/>
              <w:left w:val="nil"/>
              <w:bottom w:val="nil"/>
              <w:right w:val="nil"/>
            </w:tcBorders>
            <w:vAlign w:val="center"/>
          </w:tcPr>
          <w:p w14:paraId="4C56C10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0.005</w:t>
            </w:r>
          </w:p>
        </w:tc>
      </w:tr>
      <w:tr w:rsidR="006E4B3F" w:rsidRPr="00BD17D7" w14:paraId="7F16B213" w14:textId="77777777" w:rsidTr="008C53F0">
        <w:trPr>
          <w:trHeight w:val="268"/>
        </w:trPr>
        <w:tc>
          <w:tcPr>
            <w:tcW w:w="1872" w:type="dxa"/>
            <w:tcBorders>
              <w:top w:val="nil"/>
              <w:left w:val="nil"/>
              <w:bottom w:val="nil"/>
              <w:right w:val="nil"/>
            </w:tcBorders>
          </w:tcPr>
          <w:p w14:paraId="5BE33D78"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MU</w:t>
            </w:r>
          </w:p>
        </w:tc>
        <w:tc>
          <w:tcPr>
            <w:tcW w:w="1874" w:type="dxa"/>
            <w:tcBorders>
              <w:top w:val="nil"/>
              <w:left w:val="nil"/>
              <w:bottom w:val="nil"/>
              <w:right w:val="nil"/>
            </w:tcBorders>
            <w:vAlign w:val="center"/>
          </w:tcPr>
          <w:p w14:paraId="37BA18C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2.847</w:t>
            </w:r>
          </w:p>
        </w:tc>
        <w:tc>
          <w:tcPr>
            <w:tcW w:w="1872" w:type="dxa"/>
            <w:tcBorders>
              <w:top w:val="nil"/>
              <w:left w:val="nil"/>
              <w:bottom w:val="nil"/>
              <w:right w:val="nil"/>
            </w:tcBorders>
            <w:vAlign w:val="center"/>
          </w:tcPr>
          <w:p w14:paraId="79568C7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0.828</w:t>
            </w:r>
          </w:p>
        </w:tc>
        <w:tc>
          <w:tcPr>
            <w:tcW w:w="1874" w:type="dxa"/>
            <w:tcBorders>
              <w:top w:val="nil"/>
              <w:left w:val="nil"/>
              <w:bottom w:val="nil"/>
              <w:right w:val="nil"/>
            </w:tcBorders>
            <w:vAlign w:val="center"/>
          </w:tcPr>
          <w:p w14:paraId="0857DE8B"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11.818</w:t>
            </w:r>
          </w:p>
        </w:tc>
        <w:tc>
          <w:tcPr>
            <w:tcW w:w="1878" w:type="dxa"/>
            <w:tcBorders>
              <w:top w:val="nil"/>
              <w:left w:val="nil"/>
              <w:bottom w:val="nil"/>
              <w:right w:val="nil"/>
            </w:tcBorders>
            <w:vAlign w:val="center"/>
          </w:tcPr>
          <w:p w14:paraId="2E01333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0.001</w:t>
            </w:r>
          </w:p>
        </w:tc>
      </w:tr>
      <w:tr w:rsidR="006E4B3F" w:rsidRPr="00BD17D7" w14:paraId="67A2E9D1" w14:textId="77777777" w:rsidTr="008C53F0">
        <w:trPr>
          <w:trHeight w:val="268"/>
        </w:trPr>
        <w:tc>
          <w:tcPr>
            <w:tcW w:w="1872" w:type="dxa"/>
            <w:tcBorders>
              <w:top w:val="nil"/>
              <w:left w:val="nil"/>
              <w:bottom w:val="nil"/>
              <w:right w:val="nil"/>
            </w:tcBorders>
          </w:tcPr>
          <w:p w14:paraId="24BA6EBA"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GOV</w:t>
            </w:r>
          </w:p>
        </w:tc>
        <w:tc>
          <w:tcPr>
            <w:tcW w:w="1874" w:type="dxa"/>
            <w:tcBorders>
              <w:top w:val="nil"/>
              <w:left w:val="nil"/>
              <w:bottom w:val="nil"/>
              <w:right w:val="nil"/>
            </w:tcBorders>
            <w:vAlign w:val="center"/>
          </w:tcPr>
          <w:p w14:paraId="1F3697BC"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4.738</w:t>
            </w:r>
          </w:p>
        </w:tc>
        <w:tc>
          <w:tcPr>
            <w:tcW w:w="1872" w:type="dxa"/>
            <w:tcBorders>
              <w:top w:val="nil"/>
              <w:left w:val="nil"/>
              <w:bottom w:val="nil"/>
              <w:right w:val="nil"/>
            </w:tcBorders>
            <w:vAlign w:val="center"/>
          </w:tcPr>
          <w:p w14:paraId="0C67C9B0"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1.066</w:t>
            </w:r>
          </w:p>
        </w:tc>
        <w:tc>
          <w:tcPr>
            <w:tcW w:w="1874" w:type="dxa"/>
            <w:tcBorders>
              <w:top w:val="nil"/>
              <w:left w:val="nil"/>
              <w:bottom w:val="nil"/>
              <w:right w:val="nil"/>
            </w:tcBorders>
            <w:vAlign w:val="center"/>
          </w:tcPr>
          <w:p w14:paraId="04B115D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6.925</w:t>
            </w:r>
          </w:p>
        </w:tc>
        <w:tc>
          <w:tcPr>
            <w:tcW w:w="1878" w:type="dxa"/>
            <w:tcBorders>
              <w:top w:val="nil"/>
              <w:left w:val="nil"/>
              <w:bottom w:val="nil"/>
              <w:right w:val="nil"/>
            </w:tcBorders>
            <w:vAlign w:val="center"/>
          </w:tcPr>
          <w:p w14:paraId="18A0B094"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0.008</w:t>
            </w:r>
          </w:p>
        </w:tc>
      </w:tr>
      <w:tr w:rsidR="006E4B3F" w:rsidRPr="00BD17D7" w14:paraId="67D45A2A" w14:textId="77777777" w:rsidTr="008C53F0">
        <w:trPr>
          <w:trHeight w:val="268"/>
        </w:trPr>
        <w:tc>
          <w:tcPr>
            <w:tcW w:w="1872" w:type="dxa"/>
            <w:tcBorders>
              <w:top w:val="nil"/>
              <w:left w:val="nil"/>
              <w:bottom w:val="nil"/>
              <w:right w:val="nil"/>
            </w:tcBorders>
          </w:tcPr>
          <w:p w14:paraId="6FF0DEC6"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MU*CTA</w:t>
            </w:r>
          </w:p>
        </w:tc>
        <w:tc>
          <w:tcPr>
            <w:tcW w:w="1874" w:type="dxa"/>
            <w:tcBorders>
              <w:top w:val="nil"/>
              <w:left w:val="nil"/>
              <w:bottom w:val="nil"/>
              <w:right w:val="nil"/>
            </w:tcBorders>
            <w:vAlign w:val="center"/>
          </w:tcPr>
          <w:p w14:paraId="069F48B2"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1.491</w:t>
            </w:r>
          </w:p>
        </w:tc>
        <w:tc>
          <w:tcPr>
            <w:tcW w:w="1872" w:type="dxa"/>
            <w:tcBorders>
              <w:top w:val="nil"/>
              <w:left w:val="nil"/>
              <w:bottom w:val="nil"/>
              <w:right w:val="nil"/>
            </w:tcBorders>
            <w:vAlign w:val="center"/>
          </w:tcPr>
          <w:p w14:paraId="27B4846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0.652</w:t>
            </w:r>
          </w:p>
        </w:tc>
        <w:tc>
          <w:tcPr>
            <w:tcW w:w="1874" w:type="dxa"/>
            <w:tcBorders>
              <w:top w:val="nil"/>
              <w:left w:val="nil"/>
              <w:bottom w:val="nil"/>
              <w:right w:val="nil"/>
            </w:tcBorders>
            <w:vAlign w:val="center"/>
          </w:tcPr>
          <w:p w14:paraId="5347E537"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10.649</w:t>
            </w:r>
          </w:p>
        </w:tc>
        <w:tc>
          <w:tcPr>
            <w:tcW w:w="1878" w:type="dxa"/>
            <w:tcBorders>
              <w:top w:val="nil"/>
              <w:left w:val="nil"/>
              <w:bottom w:val="nil"/>
              <w:right w:val="nil"/>
            </w:tcBorders>
            <w:vAlign w:val="center"/>
          </w:tcPr>
          <w:p w14:paraId="0831569C"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0.001</w:t>
            </w:r>
          </w:p>
        </w:tc>
      </w:tr>
      <w:tr w:rsidR="006E4B3F" w:rsidRPr="00BD17D7" w14:paraId="39B83E8F" w14:textId="77777777" w:rsidTr="008C53F0">
        <w:trPr>
          <w:trHeight w:val="268"/>
        </w:trPr>
        <w:tc>
          <w:tcPr>
            <w:tcW w:w="1872" w:type="dxa"/>
            <w:tcBorders>
              <w:top w:val="nil"/>
              <w:left w:val="nil"/>
              <w:bottom w:val="nil"/>
              <w:right w:val="nil"/>
            </w:tcBorders>
          </w:tcPr>
          <w:p w14:paraId="5893DFA3"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GOV*CTA</w:t>
            </w:r>
          </w:p>
        </w:tc>
        <w:tc>
          <w:tcPr>
            <w:tcW w:w="1874" w:type="dxa"/>
            <w:tcBorders>
              <w:top w:val="nil"/>
              <w:left w:val="nil"/>
              <w:bottom w:val="nil"/>
              <w:right w:val="nil"/>
            </w:tcBorders>
            <w:vAlign w:val="center"/>
          </w:tcPr>
          <w:p w14:paraId="3BF75D03"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2.405</w:t>
            </w:r>
          </w:p>
        </w:tc>
        <w:tc>
          <w:tcPr>
            <w:tcW w:w="1872" w:type="dxa"/>
            <w:tcBorders>
              <w:top w:val="nil"/>
              <w:left w:val="nil"/>
              <w:bottom w:val="nil"/>
              <w:right w:val="nil"/>
            </w:tcBorders>
            <w:vAlign w:val="center"/>
          </w:tcPr>
          <w:p w14:paraId="1BB80C0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0.997</w:t>
            </w:r>
          </w:p>
        </w:tc>
        <w:tc>
          <w:tcPr>
            <w:tcW w:w="1874" w:type="dxa"/>
            <w:tcBorders>
              <w:top w:val="nil"/>
              <w:left w:val="nil"/>
              <w:bottom w:val="nil"/>
              <w:right w:val="nil"/>
            </w:tcBorders>
            <w:vAlign w:val="center"/>
          </w:tcPr>
          <w:p w14:paraId="7EB2AE33"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8.752</w:t>
            </w:r>
          </w:p>
        </w:tc>
        <w:tc>
          <w:tcPr>
            <w:tcW w:w="1878" w:type="dxa"/>
            <w:tcBorders>
              <w:top w:val="nil"/>
              <w:left w:val="nil"/>
              <w:bottom w:val="nil"/>
              <w:right w:val="nil"/>
            </w:tcBorders>
            <w:vAlign w:val="center"/>
          </w:tcPr>
          <w:p w14:paraId="27D1E12D"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0.003</w:t>
            </w:r>
          </w:p>
        </w:tc>
      </w:tr>
      <w:tr w:rsidR="006E4B3F" w:rsidRPr="00BD17D7" w14:paraId="66CBFB7D" w14:textId="77777777" w:rsidTr="008C53F0">
        <w:trPr>
          <w:trHeight w:val="268"/>
        </w:trPr>
        <w:tc>
          <w:tcPr>
            <w:tcW w:w="1872" w:type="dxa"/>
            <w:tcBorders>
              <w:top w:val="nil"/>
              <w:left w:val="nil"/>
              <w:bottom w:val="nil"/>
              <w:right w:val="nil"/>
            </w:tcBorders>
          </w:tcPr>
          <w:p w14:paraId="6C44CB2A"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IND</w:t>
            </w:r>
          </w:p>
        </w:tc>
        <w:tc>
          <w:tcPr>
            <w:tcW w:w="1874" w:type="dxa"/>
            <w:tcBorders>
              <w:top w:val="nil"/>
              <w:left w:val="nil"/>
              <w:bottom w:val="nil"/>
              <w:right w:val="nil"/>
            </w:tcBorders>
            <w:vAlign w:val="center"/>
          </w:tcPr>
          <w:p w14:paraId="2632F49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-6.350</w:t>
            </w:r>
          </w:p>
        </w:tc>
        <w:tc>
          <w:tcPr>
            <w:tcW w:w="1872" w:type="dxa"/>
            <w:tcBorders>
              <w:top w:val="nil"/>
              <w:left w:val="nil"/>
              <w:bottom w:val="nil"/>
              <w:right w:val="nil"/>
            </w:tcBorders>
            <w:vAlign w:val="center"/>
          </w:tcPr>
          <w:p w14:paraId="0BDDC86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2.446</w:t>
            </w:r>
          </w:p>
        </w:tc>
        <w:tc>
          <w:tcPr>
            <w:tcW w:w="1874" w:type="dxa"/>
            <w:tcBorders>
              <w:top w:val="nil"/>
              <w:left w:val="nil"/>
              <w:bottom w:val="nil"/>
              <w:right w:val="nil"/>
            </w:tcBorders>
            <w:vAlign w:val="center"/>
          </w:tcPr>
          <w:p w14:paraId="565CF95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5.538</w:t>
            </w:r>
          </w:p>
        </w:tc>
        <w:tc>
          <w:tcPr>
            <w:tcW w:w="1878" w:type="dxa"/>
            <w:tcBorders>
              <w:top w:val="nil"/>
              <w:left w:val="nil"/>
              <w:bottom w:val="nil"/>
              <w:right w:val="nil"/>
            </w:tcBorders>
            <w:vAlign w:val="center"/>
          </w:tcPr>
          <w:p w14:paraId="47D58E96"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0.022</w:t>
            </w:r>
          </w:p>
        </w:tc>
      </w:tr>
      <w:tr w:rsidR="006E4B3F" w:rsidRPr="00BD17D7" w14:paraId="77DADDFD" w14:textId="77777777" w:rsidTr="008C53F0">
        <w:trPr>
          <w:trHeight w:val="268"/>
        </w:trPr>
        <w:tc>
          <w:tcPr>
            <w:tcW w:w="1872" w:type="dxa"/>
            <w:tcBorders>
              <w:top w:val="nil"/>
              <w:left w:val="nil"/>
              <w:bottom w:val="nil"/>
              <w:right w:val="nil"/>
            </w:tcBorders>
          </w:tcPr>
          <w:p w14:paraId="3A7BD2F0"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Duality</w:t>
            </w:r>
          </w:p>
        </w:tc>
        <w:tc>
          <w:tcPr>
            <w:tcW w:w="1874" w:type="dxa"/>
            <w:tcBorders>
              <w:top w:val="nil"/>
              <w:left w:val="nil"/>
              <w:bottom w:val="nil"/>
              <w:right w:val="nil"/>
            </w:tcBorders>
            <w:vAlign w:val="center"/>
          </w:tcPr>
          <w:p w14:paraId="3B580393"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1.397</w:t>
            </w:r>
          </w:p>
        </w:tc>
        <w:tc>
          <w:tcPr>
            <w:tcW w:w="1872" w:type="dxa"/>
            <w:tcBorders>
              <w:top w:val="nil"/>
              <w:left w:val="nil"/>
              <w:bottom w:val="nil"/>
              <w:right w:val="nil"/>
            </w:tcBorders>
            <w:vAlign w:val="center"/>
          </w:tcPr>
          <w:p w14:paraId="3A8DF5B2"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0.685</w:t>
            </w:r>
          </w:p>
        </w:tc>
        <w:tc>
          <w:tcPr>
            <w:tcW w:w="1874" w:type="dxa"/>
            <w:tcBorders>
              <w:top w:val="nil"/>
              <w:left w:val="nil"/>
              <w:bottom w:val="nil"/>
              <w:right w:val="nil"/>
            </w:tcBorders>
            <w:vAlign w:val="center"/>
          </w:tcPr>
          <w:p w14:paraId="73177897"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4.162</w:t>
            </w:r>
          </w:p>
        </w:tc>
        <w:tc>
          <w:tcPr>
            <w:tcW w:w="1878" w:type="dxa"/>
            <w:tcBorders>
              <w:top w:val="nil"/>
              <w:left w:val="nil"/>
              <w:bottom w:val="nil"/>
              <w:right w:val="nil"/>
            </w:tcBorders>
            <w:vAlign w:val="center"/>
          </w:tcPr>
          <w:p w14:paraId="667A2B4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0.041</w:t>
            </w:r>
          </w:p>
        </w:tc>
      </w:tr>
      <w:tr w:rsidR="006E4B3F" w:rsidRPr="00BD17D7" w14:paraId="7D24A1AD" w14:textId="77777777" w:rsidTr="008C53F0">
        <w:trPr>
          <w:trHeight w:val="284"/>
        </w:trPr>
        <w:tc>
          <w:tcPr>
            <w:tcW w:w="1872" w:type="dxa"/>
            <w:tcBorders>
              <w:top w:val="nil"/>
              <w:left w:val="nil"/>
              <w:bottom w:val="nil"/>
              <w:right w:val="nil"/>
            </w:tcBorders>
          </w:tcPr>
          <w:p w14:paraId="228330A4"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Size</w:t>
            </w:r>
          </w:p>
        </w:tc>
        <w:tc>
          <w:tcPr>
            <w:tcW w:w="1874" w:type="dxa"/>
            <w:tcBorders>
              <w:top w:val="nil"/>
              <w:left w:val="nil"/>
              <w:bottom w:val="nil"/>
              <w:right w:val="nil"/>
            </w:tcBorders>
            <w:vAlign w:val="center"/>
          </w:tcPr>
          <w:p w14:paraId="1DEDD5A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2.562</w:t>
            </w:r>
          </w:p>
        </w:tc>
        <w:tc>
          <w:tcPr>
            <w:tcW w:w="1872" w:type="dxa"/>
            <w:tcBorders>
              <w:top w:val="nil"/>
              <w:left w:val="nil"/>
              <w:bottom w:val="nil"/>
              <w:right w:val="nil"/>
            </w:tcBorders>
            <w:vAlign w:val="center"/>
          </w:tcPr>
          <w:p w14:paraId="482930F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0.493</w:t>
            </w:r>
          </w:p>
        </w:tc>
        <w:tc>
          <w:tcPr>
            <w:tcW w:w="1874" w:type="dxa"/>
            <w:tcBorders>
              <w:top w:val="nil"/>
              <w:left w:val="nil"/>
              <w:bottom w:val="nil"/>
              <w:right w:val="nil"/>
            </w:tcBorders>
            <w:vAlign w:val="center"/>
          </w:tcPr>
          <w:p w14:paraId="6F49604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9.240</w:t>
            </w:r>
          </w:p>
        </w:tc>
        <w:tc>
          <w:tcPr>
            <w:tcW w:w="1878" w:type="dxa"/>
            <w:tcBorders>
              <w:top w:val="nil"/>
              <w:left w:val="nil"/>
              <w:bottom w:val="nil"/>
              <w:right w:val="nil"/>
            </w:tcBorders>
            <w:vAlign w:val="center"/>
          </w:tcPr>
          <w:p w14:paraId="6CFE919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0.002</w:t>
            </w:r>
          </w:p>
        </w:tc>
      </w:tr>
      <w:tr w:rsidR="006E4B3F" w:rsidRPr="00BD17D7" w14:paraId="624F6C75" w14:textId="77777777" w:rsidTr="008C53F0">
        <w:trPr>
          <w:trHeight w:val="268"/>
        </w:trPr>
        <w:tc>
          <w:tcPr>
            <w:tcW w:w="1872" w:type="dxa"/>
            <w:tcBorders>
              <w:top w:val="nil"/>
              <w:left w:val="nil"/>
              <w:bottom w:val="nil"/>
              <w:right w:val="nil"/>
            </w:tcBorders>
          </w:tcPr>
          <w:p w14:paraId="015B56DF"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lastRenderedPageBreak/>
              <w:t>ROA</w:t>
            </w:r>
          </w:p>
        </w:tc>
        <w:tc>
          <w:tcPr>
            <w:tcW w:w="1874" w:type="dxa"/>
            <w:tcBorders>
              <w:top w:val="nil"/>
              <w:left w:val="nil"/>
              <w:bottom w:val="nil"/>
              <w:right w:val="nil"/>
            </w:tcBorders>
            <w:vAlign w:val="center"/>
          </w:tcPr>
          <w:p w14:paraId="28206794"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-1.246</w:t>
            </w:r>
          </w:p>
        </w:tc>
        <w:tc>
          <w:tcPr>
            <w:tcW w:w="1872" w:type="dxa"/>
            <w:tcBorders>
              <w:top w:val="nil"/>
              <w:left w:val="nil"/>
              <w:bottom w:val="nil"/>
              <w:right w:val="nil"/>
            </w:tcBorders>
            <w:vAlign w:val="center"/>
          </w:tcPr>
          <w:p w14:paraId="7E3265F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1.824</w:t>
            </w:r>
          </w:p>
        </w:tc>
        <w:tc>
          <w:tcPr>
            <w:tcW w:w="1874" w:type="dxa"/>
            <w:tcBorders>
              <w:top w:val="nil"/>
              <w:left w:val="nil"/>
              <w:bottom w:val="nil"/>
              <w:right w:val="nil"/>
            </w:tcBorders>
            <w:vAlign w:val="center"/>
          </w:tcPr>
          <w:p w14:paraId="6E7DB756"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0.467</w:t>
            </w:r>
          </w:p>
        </w:tc>
        <w:tc>
          <w:tcPr>
            <w:tcW w:w="1878" w:type="dxa"/>
            <w:tcBorders>
              <w:top w:val="nil"/>
              <w:left w:val="nil"/>
              <w:bottom w:val="nil"/>
              <w:right w:val="nil"/>
            </w:tcBorders>
            <w:vAlign w:val="center"/>
          </w:tcPr>
          <w:p w14:paraId="67EF4C4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0.288</w:t>
            </w:r>
          </w:p>
        </w:tc>
      </w:tr>
      <w:tr w:rsidR="006E4B3F" w:rsidRPr="00BD17D7" w14:paraId="3FFB6385" w14:textId="77777777" w:rsidTr="008C53F0">
        <w:trPr>
          <w:trHeight w:val="268"/>
        </w:trPr>
        <w:tc>
          <w:tcPr>
            <w:tcW w:w="1872" w:type="dxa"/>
            <w:tcBorders>
              <w:top w:val="nil"/>
              <w:left w:val="nil"/>
              <w:bottom w:val="nil"/>
              <w:right w:val="nil"/>
            </w:tcBorders>
          </w:tcPr>
          <w:p w14:paraId="1C00A4B7"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LEV</w:t>
            </w:r>
          </w:p>
        </w:tc>
        <w:tc>
          <w:tcPr>
            <w:tcW w:w="1874" w:type="dxa"/>
            <w:tcBorders>
              <w:top w:val="nil"/>
              <w:left w:val="nil"/>
              <w:bottom w:val="nil"/>
              <w:right w:val="nil"/>
            </w:tcBorders>
            <w:vAlign w:val="center"/>
          </w:tcPr>
          <w:p w14:paraId="5FBBBCA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-2.835</w:t>
            </w:r>
          </w:p>
        </w:tc>
        <w:tc>
          <w:tcPr>
            <w:tcW w:w="1872" w:type="dxa"/>
            <w:tcBorders>
              <w:top w:val="nil"/>
              <w:left w:val="nil"/>
              <w:bottom w:val="nil"/>
              <w:right w:val="nil"/>
            </w:tcBorders>
            <w:vAlign w:val="center"/>
          </w:tcPr>
          <w:p w14:paraId="404100AD"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6.501</w:t>
            </w:r>
          </w:p>
        </w:tc>
        <w:tc>
          <w:tcPr>
            <w:tcW w:w="1874" w:type="dxa"/>
            <w:tcBorders>
              <w:top w:val="nil"/>
              <w:left w:val="nil"/>
              <w:bottom w:val="nil"/>
              <w:right w:val="nil"/>
            </w:tcBorders>
            <w:vAlign w:val="center"/>
          </w:tcPr>
          <w:p w14:paraId="18C3B48F"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0.197</w:t>
            </w:r>
          </w:p>
        </w:tc>
        <w:tc>
          <w:tcPr>
            <w:tcW w:w="1878" w:type="dxa"/>
            <w:tcBorders>
              <w:top w:val="nil"/>
              <w:left w:val="nil"/>
              <w:bottom w:val="nil"/>
              <w:right w:val="nil"/>
            </w:tcBorders>
            <w:vAlign w:val="center"/>
          </w:tcPr>
          <w:p w14:paraId="26F27EE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0.657</w:t>
            </w:r>
          </w:p>
        </w:tc>
      </w:tr>
      <w:tr w:rsidR="006E4B3F" w:rsidRPr="00BD17D7" w14:paraId="0C2DFE0A" w14:textId="77777777" w:rsidTr="008C53F0">
        <w:trPr>
          <w:trHeight w:val="268"/>
        </w:trPr>
        <w:tc>
          <w:tcPr>
            <w:tcW w:w="1872" w:type="dxa"/>
            <w:tcBorders>
              <w:top w:val="nil"/>
              <w:left w:val="nil"/>
              <w:bottom w:val="nil"/>
              <w:right w:val="nil"/>
            </w:tcBorders>
          </w:tcPr>
          <w:p w14:paraId="2A25CBF8"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MTB</w:t>
            </w:r>
          </w:p>
        </w:tc>
        <w:tc>
          <w:tcPr>
            <w:tcW w:w="1874" w:type="dxa"/>
            <w:tcBorders>
              <w:top w:val="nil"/>
              <w:left w:val="nil"/>
              <w:bottom w:val="nil"/>
              <w:right w:val="nil"/>
            </w:tcBorders>
            <w:vAlign w:val="center"/>
          </w:tcPr>
          <w:p w14:paraId="070EBD18"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-2.288</w:t>
            </w:r>
          </w:p>
        </w:tc>
        <w:tc>
          <w:tcPr>
            <w:tcW w:w="1872" w:type="dxa"/>
            <w:tcBorders>
              <w:top w:val="nil"/>
              <w:left w:val="nil"/>
              <w:bottom w:val="nil"/>
              <w:right w:val="nil"/>
            </w:tcBorders>
            <w:vAlign w:val="center"/>
          </w:tcPr>
          <w:p w14:paraId="5B78E695"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1.214</w:t>
            </w:r>
          </w:p>
        </w:tc>
        <w:tc>
          <w:tcPr>
            <w:tcW w:w="1874" w:type="dxa"/>
            <w:tcBorders>
              <w:top w:val="nil"/>
              <w:left w:val="nil"/>
              <w:bottom w:val="nil"/>
              <w:right w:val="nil"/>
            </w:tcBorders>
            <w:vAlign w:val="center"/>
          </w:tcPr>
          <w:p w14:paraId="4832CA0E"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5.408</w:t>
            </w:r>
          </w:p>
        </w:tc>
        <w:tc>
          <w:tcPr>
            <w:tcW w:w="1878" w:type="dxa"/>
            <w:tcBorders>
              <w:top w:val="nil"/>
              <w:left w:val="nil"/>
              <w:bottom w:val="nil"/>
              <w:right w:val="nil"/>
            </w:tcBorders>
            <w:vAlign w:val="center"/>
          </w:tcPr>
          <w:p w14:paraId="5F7E5273"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0.037</w:t>
            </w:r>
          </w:p>
        </w:tc>
      </w:tr>
      <w:tr w:rsidR="006E4B3F" w:rsidRPr="00BD17D7" w14:paraId="69FCFD62" w14:textId="77777777" w:rsidTr="008C53F0">
        <w:trPr>
          <w:trHeight w:val="268"/>
        </w:trPr>
        <w:tc>
          <w:tcPr>
            <w:tcW w:w="1872" w:type="dxa"/>
            <w:tcBorders>
              <w:top w:val="nil"/>
              <w:left w:val="nil"/>
              <w:bottom w:val="nil"/>
              <w:right w:val="nil"/>
            </w:tcBorders>
          </w:tcPr>
          <w:p w14:paraId="5B778D90"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FDISTER</w:t>
            </w:r>
          </w:p>
        </w:tc>
        <w:tc>
          <w:tcPr>
            <w:tcW w:w="1874" w:type="dxa"/>
            <w:tcBorders>
              <w:top w:val="nil"/>
              <w:left w:val="nil"/>
              <w:bottom w:val="nil"/>
              <w:right w:val="nil"/>
            </w:tcBorders>
            <w:vAlign w:val="center"/>
          </w:tcPr>
          <w:p w14:paraId="147EB58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0.920</w:t>
            </w:r>
          </w:p>
        </w:tc>
        <w:tc>
          <w:tcPr>
            <w:tcW w:w="1872" w:type="dxa"/>
            <w:tcBorders>
              <w:top w:val="nil"/>
              <w:left w:val="nil"/>
              <w:bottom w:val="nil"/>
              <w:right w:val="nil"/>
            </w:tcBorders>
            <w:vAlign w:val="center"/>
          </w:tcPr>
          <w:p w14:paraId="5C073C02"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0.636</w:t>
            </w:r>
          </w:p>
        </w:tc>
        <w:tc>
          <w:tcPr>
            <w:tcW w:w="1874" w:type="dxa"/>
            <w:tcBorders>
              <w:top w:val="nil"/>
              <w:left w:val="nil"/>
              <w:bottom w:val="nil"/>
              <w:right w:val="nil"/>
            </w:tcBorders>
            <w:vAlign w:val="center"/>
          </w:tcPr>
          <w:p w14:paraId="1C96008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2.090</w:t>
            </w:r>
          </w:p>
        </w:tc>
        <w:tc>
          <w:tcPr>
            <w:tcW w:w="1878" w:type="dxa"/>
            <w:tcBorders>
              <w:top w:val="nil"/>
              <w:left w:val="nil"/>
              <w:bottom w:val="nil"/>
              <w:right w:val="nil"/>
            </w:tcBorders>
            <w:vAlign w:val="center"/>
          </w:tcPr>
          <w:p w14:paraId="419E1E4B"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0.148</w:t>
            </w:r>
          </w:p>
        </w:tc>
      </w:tr>
      <w:tr w:rsidR="006E4B3F" w:rsidRPr="00BD17D7" w14:paraId="03EAA004" w14:textId="77777777" w:rsidTr="008C53F0">
        <w:trPr>
          <w:trHeight w:val="268"/>
        </w:trPr>
        <w:tc>
          <w:tcPr>
            <w:tcW w:w="1872" w:type="dxa"/>
            <w:tcBorders>
              <w:top w:val="nil"/>
              <w:left w:val="nil"/>
              <w:bottom w:val="nil"/>
              <w:right w:val="nil"/>
            </w:tcBorders>
          </w:tcPr>
          <w:p w14:paraId="29918626"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roofErr w:type="spellStart"/>
            <w:r w:rsidRPr="00BD17D7">
              <w:rPr>
                <w:rFonts w:asciiTheme="majorBidi" w:hAnsiTheme="majorBidi" w:cstheme="majorBidi"/>
                <w:sz w:val="20"/>
                <w:szCs w:val="20"/>
                <w:highlight w:val="yellow"/>
              </w:rPr>
              <w:t>Intan</w:t>
            </w:r>
            <w:proofErr w:type="spellEnd"/>
          </w:p>
        </w:tc>
        <w:tc>
          <w:tcPr>
            <w:tcW w:w="1874" w:type="dxa"/>
            <w:tcBorders>
              <w:top w:val="nil"/>
              <w:left w:val="nil"/>
              <w:bottom w:val="nil"/>
              <w:right w:val="nil"/>
            </w:tcBorders>
            <w:vAlign w:val="center"/>
          </w:tcPr>
          <w:p w14:paraId="4ED428B6"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0.566</w:t>
            </w:r>
          </w:p>
        </w:tc>
        <w:tc>
          <w:tcPr>
            <w:tcW w:w="1872" w:type="dxa"/>
            <w:tcBorders>
              <w:top w:val="nil"/>
              <w:left w:val="nil"/>
              <w:bottom w:val="nil"/>
              <w:right w:val="nil"/>
            </w:tcBorders>
            <w:vAlign w:val="center"/>
          </w:tcPr>
          <w:p w14:paraId="3C2A9DD7"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0.249</w:t>
            </w:r>
          </w:p>
        </w:tc>
        <w:tc>
          <w:tcPr>
            <w:tcW w:w="1874" w:type="dxa"/>
            <w:tcBorders>
              <w:top w:val="nil"/>
              <w:left w:val="nil"/>
              <w:bottom w:val="nil"/>
              <w:right w:val="nil"/>
            </w:tcBorders>
            <w:vAlign w:val="center"/>
          </w:tcPr>
          <w:p w14:paraId="49F62522"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5.167</w:t>
            </w:r>
          </w:p>
        </w:tc>
        <w:tc>
          <w:tcPr>
            <w:tcW w:w="1878" w:type="dxa"/>
            <w:tcBorders>
              <w:top w:val="nil"/>
              <w:left w:val="nil"/>
              <w:bottom w:val="nil"/>
              <w:right w:val="nil"/>
            </w:tcBorders>
            <w:vAlign w:val="center"/>
          </w:tcPr>
          <w:p w14:paraId="02FB7600"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0.040</w:t>
            </w:r>
          </w:p>
        </w:tc>
      </w:tr>
      <w:tr w:rsidR="006E4B3F" w:rsidRPr="00BD17D7" w14:paraId="56DB8868" w14:textId="77777777" w:rsidTr="008C53F0">
        <w:trPr>
          <w:trHeight w:val="268"/>
        </w:trPr>
        <w:tc>
          <w:tcPr>
            <w:tcW w:w="1872" w:type="dxa"/>
            <w:tcBorders>
              <w:top w:val="nil"/>
              <w:left w:val="nil"/>
              <w:bottom w:val="nil"/>
              <w:right w:val="nil"/>
            </w:tcBorders>
          </w:tcPr>
          <w:p w14:paraId="5B096DE7"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BIG</w:t>
            </w:r>
          </w:p>
        </w:tc>
        <w:tc>
          <w:tcPr>
            <w:tcW w:w="1874" w:type="dxa"/>
            <w:tcBorders>
              <w:top w:val="nil"/>
              <w:left w:val="nil"/>
              <w:bottom w:val="nil"/>
              <w:right w:val="nil"/>
            </w:tcBorders>
            <w:vAlign w:val="center"/>
          </w:tcPr>
          <w:p w14:paraId="13CA2D73"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4.839</w:t>
            </w:r>
          </w:p>
        </w:tc>
        <w:tc>
          <w:tcPr>
            <w:tcW w:w="1872" w:type="dxa"/>
            <w:tcBorders>
              <w:top w:val="nil"/>
              <w:left w:val="nil"/>
              <w:bottom w:val="nil"/>
              <w:right w:val="nil"/>
            </w:tcBorders>
            <w:vAlign w:val="center"/>
          </w:tcPr>
          <w:p w14:paraId="4E3E469B"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1.225</w:t>
            </w:r>
          </w:p>
        </w:tc>
        <w:tc>
          <w:tcPr>
            <w:tcW w:w="1874" w:type="dxa"/>
            <w:tcBorders>
              <w:top w:val="nil"/>
              <w:left w:val="nil"/>
              <w:bottom w:val="nil"/>
              <w:right w:val="nil"/>
            </w:tcBorders>
            <w:vAlign w:val="center"/>
          </w:tcPr>
          <w:p w14:paraId="46277A21"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7.869</w:t>
            </w:r>
          </w:p>
        </w:tc>
        <w:tc>
          <w:tcPr>
            <w:tcW w:w="1878" w:type="dxa"/>
            <w:tcBorders>
              <w:top w:val="nil"/>
              <w:left w:val="nil"/>
              <w:bottom w:val="nil"/>
              <w:right w:val="nil"/>
            </w:tcBorders>
            <w:vAlign w:val="center"/>
          </w:tcPr>
          <w:p w14:paraId="73852B50"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0.005</w:t>
            </w:r>
          </w:p>
        </w:tc>
      </w:tr>
      <w:tr w:rsidR="006E4B3F" w:rsidRPr="00BD17D7" w14:paraId="0C2891A9" w14:textId="77777777" w:rsidTr="008C53F0">
        <w:trPr>
          <w:trHeight w:val="268"/>
        </w:trPr>
        <w:tc>
          <w:tcPr>
            <w:tcW w:w="1872" w:type="dxa"/>
            <w:tcBorders>
              <w:top w:val="nil"/>
              <w:left w:val="nil"/>
              <w:bottom w:val="nil"/>
              <w:right w:val="nil"/>
            </w:tcBorders>
          </w:tcPr>
          <w:p w14:paraId="3F0CF0CC"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w:t>
            </w:r>
          </w:p>
        </w:tc>
        <w:tc>
          <w:tcPr>
            <w:tcW w:w="1874" w:type="dxa"/>
            <w:tcBorders>
              <w:top w:val="nil"/>
              <w:left w:val="nil"/>
              <w:bottom w:val="single" w:sz="4" w:space="0" w:color="auto"/>
              <w:right w:val="nil"/>
            </w:tcBorders>
            <w:vAlign w:val="center"/>
          </w:tcPr>
          <w:p w14:paraId="6E7E94F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-7.939</w:t>
            </w:r>
          </w:p>
        </w:tc>
        <w:tc>
          <w:tcPr>
            <w:tcW w:w="1872" w:type="dxa"/>
            <w:tcBorders>
              <w:top w:val="nil"/>
              <w:left w:val="nil"/>
              <w:bottom w:val="single" w:sz="4" w:space="0" w:color="auto"/>
              <w:right w:val="nil"/>
            </w:tcBorders>
            <w:vAlign w:val="center"/>
          </w:tcPr>
          <w:p w14:paraId="092636FB"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2.486</w:t>
            </w:r>
          </w:p>
        </w:tc>
        <w:tc>
          <w:tcPr>
            <w:tcW w:w="1874" w:type="dxa"/>
            <w:tcBorders>
              <w:top w:val="nil"/>
              <w:left w:val="nil"/>
              <w:bottom w:val="single" w:sz="4" w:space="0" w:color="auto"/>
              <w:right w:val="nil"/>
            </w:tcBorders>
            <w:vAlign w:val="center"/>
          </w:tcPr>
          <w:p w14:paraId="1A17EDEA"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10.197</w:t>
            </w:r>
          </w:p>
        </w:tc>
        <w:tc>
          <w:tcPr>
            <w:tcW w:w="1878" w:type="dxa"/>
            <w:tcBorders>
              <w:top w:val="nil"/>
              <w:left w:val="nil"/>
              <w:bottom w:val="nil"/>
              <w:right w:val="nil"/>
            </w:tcBorders>
            <w:vAlign w:val="center"/>
          </w:tcPr>
          <w:p w14:paraId="230EDC5D" w14:textId="77777777" w:rsidR="006E4B3F" w:rsidRPr="00BD17D7" w:rsidRDefault="006E4B3F" w:rsidP="008C53F0">
            <w:pPr>
              <w:autoSpaceDE w:val="0"/>
              <w:autoSpaceDN w:val="0"/>
              <w:adjustRightInd w:val="0"/>
              <w:spacing w:line="320" w:lineRule="atLeast"/>
              <w:jc w:val="center"/>
              <w:rPr>
                <w:rFonts w:asciiTheme="majorBidi" w:hAnsiTheme="majorBidi" w:cstheme="majorBidi"/>
                <w:sz w:val="20"/>
                <w:szCs w:val="20"/>
                <w:highlight w:val="yellow"/>
              </w:rPr>
            </w:pPr>
            <w:r w:rsidRPr="00BD17D7">
              <w:rPr>
                <w:rFonts w:asciiTheme="majorBidi" w:hAnsiTheme="majorBidi" w:cstheme="majorBidi"/>
                <w:sz w:val="20"/>
                <w:szCs w:val="20"/>
                <w:highlight w:val="yellow"/>
              </w:rPr>
              <w:t>0.001</w:t>
            </w:r>
          </w:p>
        </w:tc>
      </w:tr>
      <w:tr w:rsidR="006E4B3F" w:rsidRPr="00BD17D7" w14:paraId="04967ABC" w14:textId="77777777" w:rsidTr="008C53F0">
        <w:trPr>
          <w:trHeight w:val="268"/>
        </w:trPr>
        <w:tc>
          <w:tcPr>
            <w:tcW w:w="1872" w:type="dxa"/>
            <w:tcBorders>
              <w:top w:val="nil"/>
              <w:left w:val="nil"/>
              <w:bottom w:val="nil"/>
              <w:right w:val="nil"/>
            </w:tcBorders>
          </w:tcPr>
          <w:p w14:paraId="0B68CAE0"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Chi-square</w:t>
            </w:r>
          </w:p>
        </w:tc>
        <w:tc>
          <w:tcPr>
            <w:tcW w:w="1874" w:type="dxa"/>
            <w:vMerge w:val="restart"/>
            <w:tcBorders>
              <w:top w:val="single" w:sz="4" w:space="0" w:color="auto"/>
              <w:left w:val="nil"/>
              <w:right w:val="nil"/>
            </w:tcBorders>
          </w:tcPr>
          <w:p w14:paraId="4E3BBBFB"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3746" w:type="dxa"/>
            <w:gridSpan w:val="2"/>
            <w:vMerge w:val="restart"/>
            <w:tcBorders>
              <w:top w:val="single" w:sz="4" w:space="0" w:color="auto"/>
              <w:left w:val="nil"/>
              <w:right w:val="nil"/>
            </w:tcBorders>
          </w:tcPr>
          <w:p w14:paraId="64A76665"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31.573</w:t>
            </w:r>
          </w:p>
          <w:p w14:paraId="05102535"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14</w:t>
            </w:r>
          </w:p>
        </w:tc>
        <w:tc>
          <w:tcPr>
            <w:tcW w:w="1878" w:type="dxa"/>
            <w:vMerge w:val="restart"/>
            <w:tcBorders>
              <w:top w:val="single" w:sz="4" w:space="0" w:color="auto"/>
              <w:left w:val="nil"/>
              <w:right w:val="nil"/>
            </w:tcBorders>
          </w:tcPr>
          <w:p w14:paraId="57702709"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r>
      <w:tr w:rsidR="006E4B3F" w:rsidRPr="00BD17D7" w14:paraId="254D7B30" w14:textId="77777777" w:rsidTr="008C53F0">
        <w:trPr>
          <w:trHeight w:val="268"/>
        </w:trPr>
        <w:tc>
          <w:tcPr>
            <w:tcW w:w="1872" w:type="dxa"/>
            <w:tcBorders>
              <w:top w:val="nil"/>
              <w:left w:val="nil"/>
              <w:bottom w:val="nil"/>
              <w:right w:val="nil"/>
            </w:tcBorders>
          </w:tcPr>
          <w:p w14:paraId="1BEF3872"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roofErr w:type="spellStart"/>
            <w:r w:rsidRPr="00BD17D7">
              <w:rPr>
                <w:rFonts w:asciiTheme="majorBidi" w:hAnsiTheme="majorBidi" w:cstheme="majorBidi"/>
                <w:sz w:val="20"/>
                <w:szCs w:val="20"/>
                <w:highlight w:val="yellow"/>
              </w:rPr>
              <w:t>df</w:t>
            </w:r>
            <w:proofErr w:type="spellEnd"/>
          </w:p>
        </w:tc>
        <w:tc>
          <w:tcPr>
            <w:tcW w:w="1874" w:type="dxa"/>
            <w:vMerge/>
            <w:tcBorders>
              <w:left w:val="nil"/>
              <w:bottom w:val="nil"/>
              <w:right w:val="nil"/>
            </w:tcBorders>
          </w:tcPr>
          <w:p w14:paraId="43551F17"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3746" w:type="dxa"/>
            <w:gridSpan w:val="2"/>
            <w:vMerge/>
            <w:tcBorders>
              <w:left w:val="nil"/>
              <w:bottom w:val="nil"/>
              <w:right w:val="nil"/>
            </w:tcBorders>
          </w:tcPr>
          <w:p w14:paraId="33969F9B" w14:textId="77777777" w:rsidR="006E4B3F" w:rsidRPr="00BD17D7" w:rsidDel="00B0055E"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1878" w:type="dxa"/>
            <w:vMerge/>
            <w:tcBorders>
              <w:left w:val="nil"/>
              <w:bottom w:val="nil"/>
              <w:right w:val="nil"/>
            </w:tcBorders>
          </w:tcPr>
          <w:p w14:paraId="3475C684"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r>
      <w:tr w:rsidR="006E4B3F" w:rsidRPr="00BD17D7" w14:paraId="5CE348AA" w14:textId="77777777" w:rsidTr="008C53F0">
        <w:trPr>
          <w:trHeight w:val="268"/>
        </w:trPr>
        <w:tc>
          <w:tcPr>
            <w:tcW w:w="1872" w:type="dxa"/>
            <w:tcBorders>
              <w:top w:val="nil"/>
              <w:left w:val="nil"/>
              <w:bottom w:val="nil"/>
              <w:right w:val="nil"/>
            </w:tcBorders>
          </w:tcPr>
          <w:p w14:paraId="287BB3FC"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Sig</w:t>
            </w:r>
          </w:p>
        </w:tc>
        <w:tc>
          <w:tcPr>
            <w:tcW w:w="1874" w:type="dxa"/>
            <w:tcBorders>
              <w:top w:val="nil"/>
              <w:left w:val="nil"/>
              <w:bottom w:val="nil"/>
              <w:right w:val="nil"/>
            </w:tcBorders>
          </w:tcPr>
          <w:p w14:paraId="2CB49254"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c>
          <w:tcPr>
            <w:tcW w:w="3746" w:type="dxa"/>
            <w:gridSpan w:val="2"/>
            <w:tcBorders>
              <w:top w:val="nil"/>
              <w:left w:val="nil"/>
              <w:bottom w:val="nil"/>
              <w:right w:val="nil"/>
            </w:tcBorders>
          </w:tcPr>
          <w:p w14:paraId="265E7ACE"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0.000</w:t>
            </w:r>
          </w:p>
        </w:tc>
        <w:tc>
          <w:tcPr>
            <w:tcW w:w="1878" w:type="dxa"/>
            <w:tcBorders>
              <w:top w:val="nil"/>
              <w:left w:val="nil"/>
              <w:bottom w:val="nil"/>
              <w:right w:val="nil"/>
            </w:tcBorders>
          </w:tcPr>
          <w:p w14:paraId="119A05F5"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
        </w:tc>
      </w:tr>
      <w:tr w:rsidR="006E4B3F" w:rsidRPr="008A3CBE" w14:paraId="6782E271" w14:textId="77777777" w:rsidTr="008C53F0">
        <w:trPr>
          <w:trHeight w:val="548"/>
        </w:trPr>
        <w:tc>
          <w:tcPr>
            <w:tcW w:w="3746" w:type="dxa"/>
            <w:gridSpan w:val="2"/>
            <w:tcBorders>
              <w:top w:val="nil"/>
              <w:left w:val="nil"/>
              <w:right w:val="nil"/>
            </w:tcBorders>
          </w:tcPr>
          <w:p w14:paraId="16679899"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Cox &amp; Snell R Square</w:t>
            </w:r>
          </w:p>
          <w:p w14:paraId="1F55DC35"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proofErr w:type="spellStart"/>
            <w:r w:rsidRPr="00BD17D7">
              <w:rPr>
                <w:rFonts w:asciiTheme="majorBidi" w:hAnsiTheme="majorBidi" w:cstheme="majorBidi"/>
                <w:sz w:val="20"/>
                <w:szCs w:val="20"/>
                <w:highlight w:val="yellow"/>
              </w:rPr>
              <w:t>NagelkerkeR</w:t>
            </w:r>
            <w:proofErr w:type="spellEnd"/>
            <w:r w:rsidRPr="00BD17D7">
              <w:rPr>
                <w:rFonts w:asciiTheme="majorBidi" w:hAnsiTheme="majorBidi" w:cstheme="majorBidi"/>
                <w:sz w:val="20"/>
                <w:szCs w:val="20"/>
                <w:highlight w:val="yellow"/>
              </w:rPr>
              <w:t xml:space="preserve"> Square</w:t>
            </w:r>
          </w:p>
        </w:tc>
        <w:tc>
          <w:tcPr>
            <w:tcW w:w="3746" w:type="dxa"/>
            <w:gridSpan w:val="2"/>
            <w:tcBorders>
              <w:top w:val="nil"/>
              <w:left w:val="nil"/>
              <w:right w:val="nil"/>
            </w:tcBorders>
          </w:tcPr>
          <w:p w14:paraId="3BEDA0B1"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0.546</w:t>
            </w:r>
          </w:p>
          <w:p w14:paraId="263A6C10" w14:textId="77777777" w:rsidR="006E4B3F" w:rsidRPr="00BD17D7"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highlight w:val="yellow"/>
              </w:rPr>
            </w:pPr>
            <w:r w:rsidRPr="00BD17D7">
              <w:rPr>
                <w:rFonts w:asciiTheme="majorBidi" w:hAnsiTheme="majorBidi" w:cstheme="majorBidi"/>
                <w:sz w:val="20"/>
                <w:szCs w:val="20"/>
                <w:highlight w:val="yellow"/>
              </w:rPr>
              <w:t>0.730</w:t>
            </w:r>
          </w:p>
        </w:tc>
        <w:tc>
          <w:tcPr>
            <w:tcW w:w="1878" w:type="dxa"/>
            <w:tcBorders>
              <w:top w:val="nil"/>
              <w:left w:val="nil"/>
              <w:right w:val="nil"/>
            </w:tcBorders>
          </w:tcPr>
          <w:p w14:paraId="2A505969" w14:textId="77777777" w:rsidR="006E4B3F" w:rsidRPr="008A3CBE" w:rsidRDefault="006E4B3F"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bl>
    <w:p w14:paraId="1DBD4A75" w14:textId="2335E5F7" w:rsidR="008A3CBE" w:rsidRPr="00341756" w:rsidRDefault="00C70D61" w:rsidP="006E4B3F">
      <w:pPr>
        <w:jc w:val="center"/>
        <w:rPr>
          <w:rFonts w:asciiTheme="majorBidi" w:hAnsiTheme="majorBidi" w:cstheme="majorBidi"/>
          <w:sz w:val="24"/>
          <w:szCs w:val="24"/>
        </w:rPr>
      </w:pPr>
      <w:r w:rsidRPr="00341756">
        <w:rPr>
          <w:rFonts w:asciiTheme="majorBidi" w:hAnsiTheme="majorBidi" w:cstheme="majorBidi"/>
          <w:sz w:val="24"/>
          <w:szCs w:val="24"/>
        </w:rPr>
        <w:t xml:space="preserve"> </w:t>
      </w:r>
    </w:p>
    <w:p w14:paraId="2B0F7EC5" w14:textId="7639D1D7" w:rsidR="005F23F0" w:rsidRPr="00341756" w:rsidRDefault="005F23F0" w:rsidP="007D21BB">
      <w:pPr>
        <w:jc w:val="both"/>
        <w:rPr>
          <w:rFonts w:asciiTheme="majorBidi" w:hAnsiTheme="majorBidi" w:cstheme="majorBidi"/>
          <w:b/>
          <w:bCs/>
          <w:sz w:val="24"/>
          <w:szCs w:val="24"/>
        </w:rPr>
      </w:pPr>
      <w:r w:rsidRPr="00341756">
        <w:rPr>
          <w:rFonts w:asciiTheme="majorBidi" w:hAnsiTheme="majorBidi" w:cstheme="majorBidi"/>
          <w:b/>
          <w:bCs/>
          <w:sz w:val="24"/>
          <w:szCs w:val="24"/>
        </w:rPr>
        <w:t xml:space="preserve">5. </w:t>
      </w:r>
      <w:r w:rsidR="00054406" w:rsidRPr="00341756">
        <w:rPr>
          <w:rFonts w:asciiTheme="majorBidi" w:hAnsiTheme="majorBidi" w:cstheme="majorBidi"/>
          <w:b/>
          <w:bCs/>
          <w:sz w:val="24"/>
          <w:szCs w:val="24"/>
        </w:rPr>
        <w:t xml:space="preserve">Discussion and </w:t>
      </w:r>
      <w:r w:rsidRPr="00341756">
        <w:rPr>
          <w:rFonts w:asciiTheme="majorBidi" w:hAnsiTheme="majorBidi" w:cstheme="majorBidi"/>
          <w:b/>
          <w:bCs/>
          <w:sz w:val="24"/>
          <w:szCs w:val="24"/>
        </w:rPr>
        <w:t>Conclusion</w:t>
      </w:r>
    </w:p>
    <w:p w14:paraId="7B43B53E" w14:textId="0B12413D" w:rsidR="008A6052" w:rsidRPr="00341756" w:rsidRDefault="00282A58" w:rsidP="005D17E9">
      <w:pPr>
        <w:jc w:val="both"/>
        <w:rPr>
          <w:rFonts w:asciiTheme="majorBidi" w:hAnsiTheme="majorBidi" w:cstheme="majorBidi"/>
          <w:color w:val="auto"/>
          <w:sz w:val="24"/>
          <w:szCs w:val="24"/>
        </w:rPr>
      </w:pPr>
      <w:r w:rsidRPr="00341756">
        <w:rPr>
          <w:rFonts w:asciiTheme="majorBidi" w:hAnsiTheme="majorBidi" w:cstheme="majorBidi"/>
          <w:color w:val="auto"/>
          <w:sz w:val="24"/>
          <w:szCs w:val="24"/>
        </w:rPr>
        <w:t xml:space="preserve">The main objective of this study was to determine the effect of tax avoidance on the auditor’s opinions by paying attention to the moderator role of uncertainty and government ownership in Iran. </w:t>
      </w:r>
      <w:r w:rsidR="0021054C" w:rsidRPr="00BD17D7">
        <w:rPr>
          <w:rFonts w:asciiTheme="majorBidi" w:hAnsiTheme="majorBidi" w:cstheme="majorBidi"/>
          <w:color w:val="auto"/>
          <w:sz w:val="24"/>
          <w:szCs w:val="24"/>
          <w:highlight w:val="yellow"/>
        </w:rPr>
        <w:t>The results showed that tax avoidance had a positive effect on the auditor’s opinions</w:t>
      </w:r>
      <w:r w:rsidR="00C065AF" w:rsidRPr="00BD17D7">
        <w:rPr>
          <w:rFonts w:asciiTheme="majorBidi" w:hAnsiTheme="majorBidi" w:cstheme="majorBidi"/>
          <w:color w:val="auto"/>
          <w:sz w:val="24"/>
          <w:szCs w:val="24"/>
          <w:highlight w:val="yellow"/>
        </w:rPr>
        <w:t xml:space="preserve"> which can be resulted from the effect of tax avoidance on the information clarity as well as the quality reduction of the given accounting information. </w:t>
      </w:r>
      <w:r w:rsidR="00904648" w:rsidRPr="00BD17D7">
        <w:rPr>
          <w:highlight w:val="yellow"/>
        </w:rPr>
        <w:t>This finding is correlated with the study of </w:t>
      </w:r>
      <w:hyperlink w:anchor="W81" w:tgtFrame="_blank" w:history="1">
        <w:r w:rsidR="00904648" w:rsidRPr="00BD17D7">
          <w:rPr>
            <w:color w:val="4A6EE0"/>
            <w:highlight w:val="yellow"/>
            <w:u w:val="single"/>
          </w:rPr>
          <w:t>Kim and Park (2014)</w:t>
        </w:r>
      </w:hyperlink>
      <w:r w:rsidR="00904648" w:rsidRPr="00BD17D7">
        <w:rPr>
          <w:highlight w:val="yellow"/>
        </w:rPr>
        <w:t>, which introduced tax avoidance as an opportunity for earnings management, leading to manipulating the published information. </w:t>
      </w:r>
      <w:r w:rsidR="000268A1" w:rsidRPr="00BD17D7">
        <w:rPr>
          <w:rFonts w:asciiTheme="majorBidi" w:hAnsiTheme="majorBidi" w:cstheme="majorBidi"/>
          <w:color w:val="auto"/>
          <w:sz w:val="24"/>
          <w:szCs w:val="24"/>
          <w:highlight w:val="yellow"/>
        </w:rPr>
        <w:t xml:space="preserve">For this reason, auditors may issue </w:t>
      </w:r>
      <w:r w:rsidR="000268A1" w:rsidRPr="00BD17D7">
        <w:rPr>
          <w:rFonts w:asciiTheme="majorBidi" w:hAnsiTheme="majorBidi" w:cstheme="majorBidi"/>
          <w:color w:val="000000" w:themeColor="text1"/>
          <w:sz w:val="24"/>
          <w:szCs w:val="24"/>
          <w:highlight w:val="yellow"/>
        </w:rPr>
        <w:t xml:space="preserve">modified </w:t>
      </w:r>
      <w:r w:rsidR="000268A1" w:rsidRPr="00BD17D7">
        <w:rPr>
          <w:rFonts w:asciiTheme="majorBidi" w:hAnsiTheme="majorBidi" w:cstheme="majorBidi"/>
          <w:color w:val="auto"/>
          <w:sz w:val="24"/>
          <w:szCs w:val="24"/>
          <w:highlight w:val="yellow"/>
        </w:rPr>
        <w:t xml:space="preserve">opinions when the client engages in aggressive information manipulation. </w:t>
      </w:r>
      <w:r w:rsidR="005D17E9" w:rsidRPr="00BD17D7">
        <w:rPr>
          <w:rFonts w:asciiTheme="majorBidi" w:hAnsiTheme="majorBidi" w:cstheme="majorBidi"/>
          <w:color w:val="auto"/>
          <w:sz w:val="24"/>
          <w:szCs w:val="24"/>
          <w:highlight w:val="yellow"/>
        </w:rPr>
        <w:t>Furthermore</w:t>
      </w:r>
      <w:r w:rsidR="00E31592" w:rsidRPr="00BD17D7">
        <w:rPr>
          <w:rFonts w:asciiTheme="majorBidi" w:hAnsiTheme="majorBidi" w:cstheme="majorBidi"/>
          <w:color w:val="auto"/>
          <w:sz w:val="24"/>
          <w:szCs w:val="24"/>
          <w:highlight w:val="yellow"/>
        </w:rPr>
        <w:t xml:space="preserve">, the absence of a </w:t>
      </w:r>
      <w:r w:rsidR="00E31592" w:rsidRPr="00BD17D7">
        <w:rPr>
          <w:rFonts w:asciiTheme="majorBidi" w:hAnsiTheme="majorBidi" w:cstheme="majorBidi"/>
          <w:color w:val="000000" w:themeColor="text1"/>
          <w:sz w:val="24"/>
          <w:szCs w:val="24"/>
          <w:highlight w:val="yellow"/>
        </w:rPr>
        <w:t>modified</w:t>
      </w:r>
      <w:r w:rsidR="00E31592" w:rsidRPr="00BD17D7">
        <w:rPr>
          <w:rFonts w:asciiTheme="majorBidi" w:hAnsiTheme="majorBidi" w:cstheme="majorBidi"/>
          <w:color w:val="auto"/>
          <w:sz w:val="24"/>
          <w:szCs w:val="24"/>
          <w:highlight w:val="yellow"/>
        </w:rPr>
        <w:t xml:space="preserve"> report leaves auditors vulnerable to litigation</w:t>
      </w:r>
      <w:r w:rsidR="00E31592" w:rsidRPr="00341756">
        <w:rPr>
          <w:rFonts w:asciiTheme="majorBidi" w:hAnsiTheme="majorBidi" w:cstheme="majorBidi"/>
          <w:color w:val="auto"/>
          <w:sz w:val="24"/>
          <w:szCs w:val="24"/>
        </w:rPr>
        <w:t>.</w:t>
      </w:r>
    </w:p>
    <w:p w14:paraId="75245835" w14:textId="5B1C79B4" w:rsidR="007C4527" w:rsidRPr="00341756" w:rsidRDefault="00E31592" w:rsidP="00360729">
      <w:pPr>
        <w:jc w:val="both"/>
        <w:rPr>
          <w:rFonts w:asciiTheme="majorBidi" w:hAnsiTheme="majorBidi" w:cstheme="majorBidi"/>
          <w:color w:val="auto"/>
          <w:sz w:val="24"/>
          <w:szCs w:val="24"/>
        </w:rPr>
      </w:pPr>
      <w:r w:rsidRPr="00341756">
        <w:rPr>
          <w:rFonts w:asciiTheme="majorBidi" w:hAnsiTheme="majorBidi" w:cstheme="majorBidi"/>
          <w:color w:val="auto"/>
          <w:sz w:val="24"/>
          <w:szCs w:val="24"/>
        </w:rPr>
        <w:t xml:space="preserve">The second hypothesis confirmed that </w:t>
      </w:r>
      <w:r w:rsidR="0021054C" w:rsidRPr="00341756">
        <w:rPr>
          <w:rFonts w:asciiTheme="majorBidi" w:hAnsiTheme="majorBidi" w:cstheme="majorBidi"/>
          <w:color w:val="auto"/>
          <w:sz w:val="24"/>
          <w:szCs w:val="24"/>
        </w:rPr>
        <w:t>the uncertainty variable intensifies this effect.</w:t>
      </w:r>
      <w:r w:rsidR="008A26E7" w:rsidRPr="00341756">
        <w:rPr>
          <w:rFonts w:asciiTheme="majorBidi" w:hAnsiTheme="majorBidi" w:cstheme="majorBidi"/>
          <w:color w:val="auto"/>
          <w:sz w:val="24"/>
          <w:szCs w:val="24"/>
        </w:rPr>
        <w:t xml:space="preserve"> This may be due to companies trying to </w:t>
      </w:r>
      <w:r w:rsidR="00282A58" w:rsidRPr="00341756">
        <w:rPr>
          <w:rFonts w:asciiTheme="majorBidi" w:hAnsiTheme="majorBidi" w:cstheme="majorBidi"/>
          <w:color w:val="auto"/>
          <w:sz w:val="24"/>
          <w:szCs w:val="24"/>
        </w:rPr>
        <w:t>save</w:t>
      </w:r>
      <w:r w:rsidR="008A26E7" w:rsidRPr="00341756">
        <w:rPr>
          <w:rFonts w:asciiTheme="majorBidi" w:hAnsiTheme="majorBidi" w:cstheme="majorBidi"/>
          <w:color w:val="auto"/>
          <w:sz w:val="24"/>
          <w:szCs w:val="24"/>
        </w:rPr>
        <w:t xml:space="preserve"> </w:t>
      </w:r>
      <w:r w:rsidR="00282A58" w:rsidRPr="00341756">
        <w:rPr>
          <w:rFonts w:asciiTheme="majorBidi" w:hAnsiTheme="majorBidi" w:cstheme="majorBidi"/>
          <w:color w:val="auto"/>
          <w:sz w:val="24"/>
          <w:szCs w:val="24"/>
        </w:rPr>
        <w:t>cash</w:t>
      </w:r>
      <w:r w:rsidR="008A26E7" w:rsidRPr="00341756">
        <w:rPr>
          <w:rFonts w:asciiTheme="majorBidi" w:hAnsiTheme="majorBidi" w:cstheme="majorBidi"/>
          <w:color w:val="auto"/>
          <w:sz w:val="24"/>
          <w:szCs w:val="24"/>
        </w:rPr>
        <w:t xml:space="preserve"> by tax avoidance in </w:t>
      </w:r>
      <w:r w:rsidR="00282A58" w:rsidRPr="00341756">
        <w:rPr>
          <w:rFonts w:asciiTheme="majorBidi" w:hAnsiTheme="majorBidi" w:cstheme="majorBidi"/>
          <w:color w:val="auto"/>
          <w:sz w:val="24"/>
          <w:szCs w:val="24"/>
        </w:rPr>
        <w:t>market uncertainty</w:t>
      </w:r>
      <w:r w:rsidR="00282A58" w:rsidRPr="00341756">
        <w:rPr>
          <w:rFonts w:asciiTheme="majorBidi" w:hAnsiTheme="majorBidi" w:cstheme="majorBidi"/>
          <w:color w:val="auto"/>
          <w:sz w:val="24"/>
          <w:szCs w:val="24"/>
          <w:lang w:bidi="fa-IR"/>
        </w:rPr>
        <w:t xml:space="preserve">. </w:t>
      </w:r>
      <w:r w:rsidR="00763FA1" w:rsidRPr="00341756">
        <w:rPr>
          <w:rFonts w:asciiTheme="majorBidi" w:hAnsiTheme="majorBidi" w:cstheme="majorBidi"/>
          <w:color w:val="auto"/>
          <w:sz w:val="24"/>
          <w:szCs w:val="24"/>
        </w:rPr>
        <w:t>This finding corroborates previous literature</w:t>
      </w:r>
      <w:r w:rsidR="00A82FF4" w:rsidRPr="00341756">
        <w:rPr>
          <w:rFonts w:asciiTheme="majorBidi" w:hAnsiTheme="majorBidi" w:cstheme="majorBidi"/>
          <w:color w:val="auto"/>
          <w:sz w:val="24"/>
          <w:szCs w:val="24"/>
          <w:lang w:bidi="fa-IR"/>
        </w:rPr>
        <w:t xml:space="preserve"> (</w:t>
      </w:r>
      <w:hyperlink w:anchor="w61" w:history="1">
        <w:r w:rsidR="000228F5" w:rsidRPr="00341756">
          <w:rPr>
            <w:rStyle w:val="Hyperlink"/>
            <w:rFonts w:asciiTheme="majorBidi" w:hAnsiTheme="majorBidi" w:cstheme="majorBidi"/>
            <w:sz w:val="24"/>
            <w:szCs w:val="24"/>
            <w:lang w:bidi="fa-IR"/>
          </w:rPr>
          <w:t>Barnes, 2007</w:t>
        </w:r>
      </w:hyperlink>
      <w:r w:rsidR="000228F5" w:rsidRPr="00341756">
        <w:rPr>
          <w:rFonts w:asciiTheme="majorBidi" w:hAnsiTheme="majorBidi" w:cstheme="majorBidi"/>
          <w:color w:val="auto"/>
          <w:sz w:val="24"/>
          <w:szCs w:val="24"/>
          <w:lang w:bidi="fa-IR"/>
        </w:rPr>
        <w:t xml:space="preserve">; </w:t>
      </w:r>
      <w:hyperlink w:anchor="w62" w:history="1">
        <w:r w:rsidR="009A58D5" w:rsidRPr="00341756">
          <w:rPr>
            <w:rStyle w:val="Hyperlink"/>
            <w:rFonts w:asciiTheme="majorBidi" w:hAnsiTheme="majorBidi" w:cstheme="majorBidi"/>
            <w:sz w:val="24"/>
            <w:szCs w:val="24"/>
            <w:lang w:bidi="fa-IR"/>
          </w:rPr>
          <w:t>Blackburn et al.</w:t>
        </w:r>
        <w:r w:rsidR="000C19C8" w:rsidRPr="00341756">
          <w:rPr>
            <w:rStyle w:val="Hyperlink"/>
            <w:rFonts w:asciiTheme="majorBidi" w:hAnsiTheme="majorBidi" w:cstheme="majorBidi"/>
            <w:sz w:val="24"/>
            <w:szCs w:val="24"/>
            <w:lang w:bidi="fa-IR"/>
          </w:rPr>
          <w:t>, 2012</w:t>
        </w:r>
      </w:hyperlink>
      <w:r w:rsidR="000C19C8" w:rsidRPr="00341756">
        <w:rPr>
          <w:rFonts w:asciiTheme="majorBidi" w:hAnsiTheme="majorBidi" w:cstheme="majorBidi"/>
          <w:color w:val="auto"/>
          <w:sz w:val="24"/>
          <w:szCs w:val="24"/>
          <w:lang w:bidi="fa-IR"/>
        </w:rPr>
        <w:t>;</w:t>
      </w:r>
      <w:r w:rsidR="00A82FF4" w:rsidRPr="00341756">
        <w:rPr>
          <w:rFonts w:asciiTheme="majorBidi" w:hAnsiTheme="majorBidi" w:cstheme="majorBidi"/>
          <w:color w:val="auto"/>
          <w:sz w:val="24"/>
          <w:szCs w:val="24"/>
          <w:lang w:bidi="fa-IR"/>
        </w:rPr>
        <w:t xml:space="preserve"> </w:t>
      </w:r>
      <w:hyperlink w:anchor="w63" w:history="1">
        <w:r w:rsidR="00674196" w:rsidRPr="00341756">
          <w:rPr>
            <w:rStyle w:val="Hyperlink"/>
            <w:rFonts w:asciiTheme="majorBidi" w:hAnsiTheme="majorBidi" w:cstheme="majorBidi"/>
            <w:sz w:val="24"/>
            <w:szCs w:val="24"/>
            <w:lang w:bidi="fa-IR"/>
          </w:rPr>
          <w:t>Xu et al</w:t>
        </w:r>
        <w:r w:rsidR="00336D83">
          <w:rPr>
            <w:rStyle w:val="Hyperlink"/>
            <w:rFonts w:asciiTheme="majorBidi" w:hAnsiTheme="majorBidi" w:cstheme="majorBidi"/>
            <w:sz w:val="24"/>
            <w:szCs w:val="24"/>
            <w:lang w:bidi="fa-IR"/>
          </w:rPr>
          <w:t>.</w:t>
        </w:r>
        <w:r w:rsidR="00674196" w:rsidRPr="00341756">
          <w:rPr>
            <w:rStyle w:val="Hyperlink"/>
            <w:rFonts w:asciiTheme="majorBidi" w:hAnsiTheme="majorBidi" w:cstheme="majorBidi"/>
            <w:sz w:val="24"/>
            <w:szCs w:val="24"/>
            <w:lang w:bidi="fa-IR"/>
          </w:rPr>
          <w:t>, 2011</w:t>
        </w:r>
      </w:hyperlink>
      <w:r w:rsidR="000C19C8" w:rsidRPr="00341756">
        <w:rPr>
          <w:rFonts w:asciiTheme="majorBidi" w:hAnsiTheme="majorBidi" w:cstheme="majorBidi"/>
          <w:color w:val="auto"/>
          <w:sz w:val="24"/>
          <w:szCs w:val="24"/>
          <w:lang w:bidi="fa-IR"/>
        </w:rPr>
        <w:t>;</w:t>
      </w:r>
      <w:r w:rsidR="00A82FF4" w:rsidRPr="00341756">
        <w:rPr>
          <w:rFonts w:asciiTheme="majorBidi" w:hAnsiTheme="majorBidi" w:cstheme="majorBidi"/>
          <w:color w:val="auto"/>
          <w:sz w:val="24"/>
          <w:szCs w:val="24"/>
          <w:lang w:bidi="fa-IR"/>
        </w:rPr>
        <w:t xml:space="preserve"> </w:t>
      </w:r>
      <w:hyperlink w:anchor="w64" w:history="1">
        <w:proofErr w:type="spellStart"/>
        <w:r w:rsidR="009A58D5" w:rsidRPr="00341756">
          <w:rPr>
            <w:rStyle w:val="Hyperlink"/>
            <w:rFonts w:asciiTheme="majorBidi" w:hAnsiTheme="majorBidi" w:cstheme="majorBidi"/>
            <w:sz w:val="24"/>
            <w:szCs w:val="24"/>
            <w:lang w:bidi="fa-IR"/>
          </w:rPr>
          <w:t>Pappa</w:t>
        </w:r>
        <w:proofErr w:type="spellEnd"/>
        <w:r w:rsidR="009A58D5" w:rsidRPr="00341756">
          <w:rPr>
            <w:rStyle w:val="Hyperlink"/>
            <w:rFonts w:asciiTheme="majorBidi" w:hAnsiTheme="majorBidi" w:cstheme="majorBidi"/>
            <w:sz w:val="24"/>
            <w:szCs w:val="24"/>
            <w:lang w:bidi="fa-IR"/>
          </w:rPr>
          <w:t xml:space="preserve"> et al.</w:t>
        </w:r>
        <w:r w:rsidR="00AE2744" w:rsidRPr="00341756">
          <w:rPr>
            <w:rStyle w:val="Hyperlink"/>
            <w:rFonts w:asciiTheme="majorBidi" w:hAnsiTheme="majorBidi" w:cstheme="majorBidi"/>
            <w:sz w:val="24"/>
            <w:szCs w:val="24"/>
            <w:lang w:bidi="fa-IR"/>
          </w:rPr>
          <w:t>, 2015</w:t>
        </w:r>
      </w:hyperlink>
      <w:r w:rsidR="002D50D5" w:rsidRPr="00341756">
        <w:rPr>
          <w:rFonts w:asciiTheme="majorBidi" w:hAnsiTheme="majorBidi" w:cstheme="majorBidi"/>
          <w:color w:val="auto"/>
          <w:sz w:val="24"/>
          <w:szCs w:val="24"/>
          <w:lang w:bidi="fa-IR"/>
        </w:rPr>
        <w:t xml:space="preserve">, </w:t>
      </w:r>
      <w:hyperlink w:anchor="w65" w:history="1">
        <w:r w:rsidR="009A58D5" w:rsidRPr="00341756">
          <w:rPr>
            <w:rStyle w:val="Hyperlink"/>
            <w:rFonts w:asciiTheme="majorBidi" w:hAnsiTheme="majorBidi" w:cstheme="majorBidi"/>
            <w:sz w:val="24"/>
            <w:szCs w:val="24"/>
            <w:lang w:bidi="fa-IR"/>
          </w:rPr>
          <w:t>Schneider et al.</w:t>
        </w:r>
        <w:r w:rsidR="00AE06DA" w:rsidRPr="00341756">
          <w:rPr>
            <w:rStyle w:val="Hyperlink"/>
            <w:rFonts w:asciiTheme="majorBidi" w:hAnsiTheme="majorBidi" w:cstheme="majorBidi"/>
            <w:sz w:val="24"/>
            <w:szCs w:val="24"/>
            <w:lang w:bidi="fa-IR"/>
          </w:rPr>
          <w:t>, 2015</w:t>
        </w:r>
      </w:hyperlink>
      <w:r w:rsidR="00AE06DA" w:rsidRPr="00341756">
        <w:rPr>
          <w:rFonts w:asciiTheme="majorBidi" w:hAnsiTheme="majorBidi" w:cstheme="majorBidi"/>
          <w:color w:val="auto"/>
          <w:sz w:val="24"/>
          <w:szCs w:val="24"/>
          <w:lang w:bidi="fa-IR"/>
        </w:rPr>
        <w:t>)</w:t>
      </w:r>
      <w:r w:rsidR="00BF188B" w:rsidRPr="00341756">
        <w:rPr>
          <w:rFonts w:asciiTheme="majorBidi" w:hAnsiTheme="majorBidi" w:cstheme="majorBidi"/>
          <w:color w:val="auto"/>
          <w:sz w:val="24"/>
          <w:szCs w:val="24"/>
          <w:lang w:bidi="fa-IR"/>
        </w:rPr>
        <w:t xml:space="preserve"> implying that uncertainty affects the auditor's opinion by creating a higher level of tax avoidance. </w:t>
      </w:r>
      <w:r w:rsidR="007C4527" w:rsidRPr="00341756">
        <w:rPr>
          <w:rFonts w:asciiTheme="majorBidi" w:hAnsiTheme="majorBidi" w:cstheme="majorBidi"/>
          <w:color w:val="auto"/>
          <w:sz w:val="24"/>
          <w:szCs w:val="24"/>
        </w:rPr>
        <w:t xml:space="preserve">Uncertainty in the stock market makes the investors and shareholders take more risk, and it is more probable to face loss. To prevent their loss, the shareholders sell their shares and exit their wealth from the firm. Tax avoidance is an approach which the manager uses to avoid reducing the available financial resources, which leads to transfer funds from the government to shareholders. </w:t>
      </w:r>
      <w:r w:rsidR="000F3C6A">
        <w:rPr>
          <w:rFonts w:asciiTheme="majorBidi" w:hAnsiTheme="majorBidi" w:cstheme="majorBidi"/>
          <w:color w:val="auto"/>
          <w:sz w:val="24"/>
          <w:szCs w:val="24"/>
        </w:rPr>
        <w:t>Moreover,</w:t>
      </w:r>
      <w:r w:rsidR="000F3C6A" w:rsidRPr="00341756">
        <w:rPr>
          <w:rFonts w:asciiTheme="majorBidi" w:hAnsiTheme="majorBidi" w:cstheme="majorBidi"/>
          <w:color w:val="auto"/>
          <w:sz w:val="24"/>
          <w:szCs w:val="24"/>
        </w:rPr>
        <w:t xml:space="preserve"> </w:t>
      </w:r>
      <w:r w:rsidR="001670A0" w:rsidRPr="00341756">
        <w:rPr>
          <w:rFonts w:asciiTheme="majorBidi" w:hAnsiTheme="majorBidi" w:cstheme="majorBidi"/>
          <w:color w:val="auto"/>
          <w:sz w:val="24"/>
          <w:szCs w:val="24"/>
        </w:rPr>
        <w:t>managers do have opportunities to respond to uncertainty (</w:t>
      </w:r>
      <w:hyperlink w:anchor="w66" w:history="1">
        <w:r w:rsidR="001670A0" w:rsidRPr="00341756">
          <w:rPr>
            <w:rStyle w:val="Hyperlink"/>
            <w:rFonts w:asciiTheme="majorBidi" w:hAnsiTheme="majorBidi" w:cstheme="majorBidi"/>
            <w:sz w:val="24"/>
            <w:szCs w:val="24"/>
          </w:rPr>
          <w:t>Ghosh &amp; Olsen, 2009</w:t>
        </w:r>
      </w:hyperlink>
      <w:r w:rsidR="001670A0" w:rsidRPr="00341756">
        <w:rPr>
          <w:rFonts w:asciiTheme="majorBidi" w:hAnsiTheme="majorBidi" w:cstheme="majorBidi"/>
          <w:color w:val="auto"/>
          <w:sz w:val="24"/>
          <w:szCs w:val="24"/>
        </w:rPr>
        <w:t xml:space="preserve">). One of these opportunities is earnings management. The extent of opportunistic earnings management is likely to be higher when information asymmetry is high. </w:t>
      </w:r>
      <w:r w:rsidR="007C4527" w:rsidRPr="00341756">
        <w:rPr>
          <w:rFonts w:asciiTheme="majorBidi" w:hAnsiTheme="majorBidi" w:cstheme="majorBidi"/>
          <w:color w:val="auto"/>
          <w:sz w:val="24"/>
          <w:szCs w:val="24"/>
        </w:rPr>
        <w:t>Under this condition, the quality of financial statements of the firm is reduced (</w:t>
      </w:r>
      <w:hyperlink w:anchor="w67" w:history="1">
        <w:r w:rsidR="007C4527" w:rsidRPr="00341756">
          <w:rPr>
            <w:rStyle w:val="Hyperlink"/>
            <w:rFonts w:asciiTheme="majorBidi" w:hAnsiTheme="majorBidi" w:cstheme="majorBidi"/>
            <w:sz w:val="24"/>
            <w:szCs w:val="24"/>
          </w:rPr>
          <w:t>Shin &amp; Woo, 2017</w:t>
        </w:r>
      </w:hyperlink>
      <w:r w:rsidR="007C4527" w:rsidRPr="00341756">
        <w:rPr>
          <w:rFonts w:asciiTheme="majorBidi" w:hAnsiTheme="majorBidi" w:cstheme="majorBidi"/>
          <w:color w:val="auto"/>
          <w:sz w:val="24"/>
          <w:szCs w:val="24"/>
        </w:rPr>
        <w:t>), and the independent auditor’s opinion which is influenced by this phenomenon</w:t>
      </w:r>
      <w:r w:rsidR="00FC7E33">
        <w:rPr>
          <w:rFonts w:asciiTheme="majorBidi" w:hAnsiTheme="majorBidi" w:cstheme="majorBidi"/>
          <w:color w:val="auto"/>
          <w:sz w:val="24"/>
          <w:szCs w:val="24"/>
        </w:rPr>
        <w:t>,</w:t>
      </w:r>
      <w:r w:rsidR="007C4527" w:rsidRPr="00341756">
        <w:rPr>
          <w:rFonts w:asciiTheme="majorBidi" w:hAnsiTheme="majorBidi" w:cstheme="majorBidi"/>
          <w:color w:val="auto"/>
          <w:sz w:val="24"/>
          <w:szCs w:val="24"/>
        </w:rPr>
        <w:t xml:space="preserve"> becomes valuable for the investors, in terms of information (</w:t>
      </w:r>
      <w:hyperlink w:anchor="w68" w:history="1">
        <w:r w:rsidR="007C4527" w:rsidRPr="00341756">
          <w:rPr>
            <w:rStyle w:val="Hyperlink"/>
            <w:rFonts w:asciiTheme="majorBidi" w:hAnsiTheme="majorBidi" w:cstheme="majorBidi"/>
            <w:sz w:val="24"/>
            <w:szCs w:val="24"/>
          </w:rPr>
          <w:t>Chen &amp; Zhang, 2018</w:t>
        </w:r>
      </w:hyperlink>
      <w:r w:rsidR="007C4527" w:rsidRPr="00341756">
        <w:rPr>
          <w:rFonts w:asciiTheme="majorBidi" w:hAnsiTheme="majorBidi" w:cstheme="majorBidi"/>
          <w:color w:val="auto"/>
          <w:sz w:val="24"/>
          <w:szCs w:val="24"/>
        </w:rPr>
        <w:t xml:space="preserve">). </w:t>
      </w:r>
    </w:p>
    <w:p w14:paraId="56BCBA5C" w14:textId="1EC94A49" w:rsidR="00F975D7" w:rsidRPr="00341756" w:rsidRDefault="009222E5" w:rsidP="008D7A16">
      <w:pPr>
        <w:jc w:val="both"/>
        <w:rPr>
          <w:rFonts w:asciiTheme="majorBidi" w:hAnsiTheme="majorBidi" w:cstheme="majorBidi"/>
          <w:sz w:val="24"/>
          <w:szCs w:val="24"/>
          <w:lang w:bidi="fa-IR"/>
        </w:rPr>
      </w:pPr>
      <w:r w:rsidRPr="00341756">
        <w:rPr>
          <w:rFonts w:asciiTheme="majorBidi" w:hAnsiTheme="majorBidi" w:cstheme="majorBidi"/>
          <w:color w:val="auto"/>
          <w:sz w:val="24"/>
          <w:szCs w:val="24"/>
        </w:rPr>
        <w:t xml:space="preserve">Our results confirm that government ownership </w:t>
      </w:r>
      <w:r w:rsidR="006D7FAF" w:rsidRPr="00341756">
        <w:rPr>
          <w:rFonts w:asciiTheme="majorBidi" w:hAnsiTheme="majorBidi" w:cstheme="majorBidi"/>
          <w:color w:val="auto"/>
          <w:sz w:val="24"/>
          <w:szCs w:val="24"/>
        </w:rPr>
        <w:t>with a po</w:t>
      </w:r>
      <w:r w:rsidR="00E50B28" w:rsidRPr="00341756">
        <w:rPr>
          <w:rFonts w:asciiTheme="majorBidi" w:hAnsiTheme="majorBidi" w:cstheme="majorBidi"/>
          <w:color w:val="auto"/>
          <w:sz w:val="24"/>
          <w:szCs w:val="24"/>
        </w:rPr>
        <w:t>sitive coefficient</w:t>
      </w:r>
      <w:r w:rsidRPr="00341756">
        <w:rPr>
          <w:rFonts w:asciiTheme="majorBidi" w:hAnsiTheme="majorBidi" w:cstheme="majorBidi"/>
          <w:color w:val="auto"/>
          <w:sz w:val="24"/>
          <w:szCs w:val="24"/>
        </w:rPr>
        <w:t xml:space="preserve"> </w:t>
      </w:r>
      <w:r w:rsidR="006D7FAF" w:rsidRPr="00341756">
        <w:rPr>
          <w:rFonts w:asciiTheme="majorBidi" w:hAnsiTheme="majorBidi" w:cstheme="majorBidi"/>
          <w:color w:val="auto"/>
          <w:sz w:val="24"/>
          <w:szCs w:val="24"/>
        </w:rPr>
        <w:t xml:space="preserve">intensifies </w:t>
      </w:r>
      <w:r w:rsidRPr="00341756">
        <w:rPr>
          <w:rFonts w:asciiTheme="majorBidi" w:hAnsiTheme="majorBidi" w:cstheme="majorBidi"/>
          <w:color w:val="auto"/>
          <w:sz w:val="24"/>
          <w:szCs w:val="24"/>
        </w:rPr>
        <w:t xml:space="preserve">the tax avoidance effect on the auditor’s opinions. </w:t>
      </w:r>
      <w:r w:rsidR="00287DD2">
        <w:rPr>
          <w:rFonts w:asciiTheme="majorBidi" w:hAnsiTheme="majorBidi" w:cstheme="majorBidi"/>
          <w:color w:val="auto"/>
          <w:sz w:val="24"/>
          <w:szCs w:val="24"/>
        </w:rPr>
        <w:t>This</w:t>
      </w:r>
      <w:r w:rsidR="00287DD2" w:rsidRPr="00341756">
        <w:rPr>
          <w:rFonts w:asciiTheme="majorBidi" w:hAnsiTheme="majorBidi" w:cstheme="majorBidi"/>
          <w:color w:val="auto"/>
          <w:sz w:val="24"/>
          <w:szCs w:val="24"/>
        </w:rPr>
        <w:t xml:space="preserve"> </w:t>
      </w:r>
      <w:r w:rsidR="00C45F56" w:rsidRPr="00341756">
        <w:rPr>
          <w:rFonts w:asciiTheme="majorBidi" w:hAnsiTheme="majorBidi" w:cstheme="majorBidi"/>
          <w:color w:val="auto"/>
          <w:sz w:val="24"/>
          <w:szCs w:val="24"/>
        </w:rPr>
        <w:t xml:space="preserve">finding supports H2 and confirms the findings of </w:t>
      </w:r>
      <w:r w:rsidR="00C45F56" w:rsidRPr="00341756">
        <w:rPr>
          <w:rFonts w:asciiTheme="majorBidi" w:hAnsiTheme="majorBidi" w:cstheme="majorBidi"/>
          <w:color w:val="auto"/>
          <w:sz w:val="24"/>
          <w:szCs w:val="24"/>
        </w:rPr>
        <w:lastRenderedPageBreak/>
        <w:t>a number of previous studies (</w:t>
      </w:r>
      <w:proofErr w:type="spellStart"/>
      <w:r w:rsidR="008C53F0">
        <w:fldChar w:fldCharType="begin"/>
      </w:r>
      <w:r w:rsidR="008C53F0">
        <w:instrText xml:space="preserve"> HYPERLINK \l "w16" </w:instrText>
      </w:r>
      <w:r w:rsidR="008C53F0">
        <w:fldChar w:fldCharType="separate"/>
      </w:r>
      <w:r w:rsidR="00C45F56" w:rsidRPr="00341756">
        <w:rPr>
          <w:rStyle w:val="Hyperlink"/>
          <w:rFonts w:asciiTheme="majorBidi" w:hAnsiTheme="majorBidi" w:cstheme="majorBidi"/>
          <w:sz w:val="24"/>
          <w:szCs w:val="24"/>
        </w:rPr>
        <w:t>Sudibyo</w:t>
      </w:r>
      <w:proofErr w:type="spellEnd"/>
      <w:r w:rsidR="00C45F56" w:rsidRPr="00341756">
        <w:rPr>
          <w:rStyle w:val="Hyperlink"/>
          <w:rFonts w:asciiTheme="majorBidi" w:hAnsiTheme="majorBidi" w:cstheme="majorBidi"/>
          <w:sz w:val="24"/>
          <w:szCs w:val="24"/>
        </w:rPr>
        <w:t xml:space="preserve"> &amp; </w:t>
      </w:r>
      <w:proofErr w:type="spellStart"/>
      <w:r w:rsidR="00C45F56" w:rsidRPr="00341756">
        <w:rPr>
          <w:rStyle w:val="Hyperlink"/>
          <w:rFonts w:asciiTheme="majorBidi" w:hAnsiTheme="majorBidi" w:cstheme="majorBidi"/>
          <w:sz w:val="24"/>
          <w:szCs w:val="24"/>
        </w:rPr>
        <w:t>Jianfu</w:t>
      </w:r>
      <w:proofErr w:type="spellEnd"/>
      <w:r w:rsidR="00C45F56" w:rsidRPr="00341756">
        <w:rPr>
          <w:rStyle w:val="Hyperlink"/>
          <w:rFonts w:asciiTheme="majorBidi" w:hAnsiTheme="majorBidi" w:cstheme="majorBidi"/>
          <w:sz w:val="24"/>
          <w:szCs w:val="24"/>
        </w:rPr>
        <w:t>, 2016</w:t>
      </w:r>
      <w:r w:rsidR="008C53F0">
        <w:rPr>
          <w:rStyle w:val="Hyperlink"/>
          <w:rFonts w:asciiTheme="majorBidi" w:hAnsiTheme="majorBidi" w:cstheme="majorBidi"/>
          <w:sz w:val="24"/>
          <w:szCs w:val="24"/>
        </w:rPr>
        <w:fldChar w:fldCharType="end"/>
      </w:r>
      <w:r w:rsidR="00C45F56" w:rsidRPr="00341756">
        <w:rPr>
          <w:rFonts w:asciiTheme="majorBidi" w:hAnsiTheme="majorBidi" w:cstheme="majorBidi"/>
          <w:color w:val="auto"/>
          <w:sz w:val="24"/>
          <w:szCs w:val="24"/>
        </w:rPr>
        <w:t xml:space="preserve">; </w:t>
      </w:r>
      <w:hyperlink w:anchor="w17" w:history="1">
        <w:proofErr w:type="spellStart"/>
        <w:r w:rsidR="00DE543B" w:rsidRPr="00341756">
          <w:rPr>
            <w:rStyle w:val="Hyperlink"/>
            <w:rFonts w:asciiTheme="majorBidi" w:hAnsiTheme="majorBidi" w:cstheme="majorBidi"/>
            <w:sz w:val="24"/>
            <w:szCs w:val="24"/>
          </w:rPr>
          <w:t>Mafrolla</w:t>
        </w:r>
        <w:proofErr w:type="spellEnd"/>
        <w:r w:rsidR="00DE543B" w:rsidRPr="00341756">
          <w:rPr>
            <w:rStyle w:val="Hyperlink"/>
            <w:rFonts w:asciiTheme="majorBidi" w:hAnsiTheme="majorBidi" w:cstheme="majorBidi"/>
            <w:sz w:val="24"/>
            <w:szCs w:val="24"/>
          </w:rPr>
          <w:t>, 2019</w:t>
        </w:r>
      </w:hyperlink>
      <w:r w:rsidR="006D590D" w:rsidRPr="00341756">
        <w:rPr>
          <w:rFonts w:asciiTheme="majorBidi" w:hAnsiTheme="majorBidi" w:cstheme="majorBidi"/>
          <w:color w:val="auto"/>
          <w:sz w:val="24"/>
          <w:szCs w:val="24"/>
        </w:rPr>
        <w:t>)</w:t>
      </w:r>
      <w:r w:rsidR="00A574E1">
        <w:rPr>
          <w:rFonts w:asciiTheme="majorBidi" w:hAnsiTheme="majorBidi" w:cstheme="majorBidi"/>
          <w:color w:val="auto"/>
          <w:sz w:val="24"/>
          <w:szCs w:val="24"/>
        </w:rPr>
        <w:t>,</w:t>
      </w:r>
      <w:r w:rsidR="006D590D" w:rsidRPr="00341756">
        <w:rPr>
          <w:rFonts w:asciiTheme="majorBidi" w:hAnsiTheme="majorBidi" w:cstheme="majorBidi"/>
          <w:color w:val="auto"/>
          <w:sz w:val="24"/>
          <w:szCs w:val="24"/>
        </w:rPr>
        <w:t xml:space="preserve"> </w:t>
      </w:r>
      <w:r w:rsidR="006D590D" w:rsidRPr="00341756">
        <w:rPr>
          <w:rFonts w:asciiTheme="majorBidi" w:hAnsiTheme="majorBidi" w:cstheme="majorBidi"/>
          <w:color w:val="auto"/>
          <w:sz w:val="24"/>
          <w:szCs w:val="24"/>
          <w:lang w:bidi="fa-IR"/>
        </w:rPr>
        <w:t xml:space="preserve">implying that Managers of government-owned firms focused on minimizing costs, even if this was to the detriment of national tax-revenue collection. The results of H2 </w:t>
      </w:r>
      <w:r w:rsidR="00462650">
        <w:rPr>
          <w:rFonts w:asciiTheme="majorBidi" w:hAnsiTheme="majorBidi" w:cstheme="majorBidi"/>
          <w:color w:val="auto"/>
          <w:sz w:val="24"/>
          <w:szCs w:val="24"/>
        </w:rPr>
        <w:t>are</w:t>
      </w:r>
      <w:r w:rsidR="00462650" w:rsidRPr="00341756">
        <w:rPr>
          <w:rFonts w:asciiTheme="majorBidi" w:hAnsiTheme="majorBidi" w:cstheme="majorBidi"/>
          <w:color w:val="auto"/>
          <w:sz w:val="24"/>
          <w:szCs w:val="24"/>
        </w:rPr>
        <w:t xml:space="preserve"> </w:t>
      </w:r>
      <w:r w:rsidRPr="00341756">
        <w:rPr>
          <w:rFonts w:asciiTheme="majorBidi" w:hAnsiTheme="majorBidi" w:cstheme="majorBidi"/>
          <w:color w:val="auto"/>
          <w:sz w:val="24"/>
          <w:szCs w:val="24"/>
        </w:rPr>
        <w:t xml:space="preserve">in disagreement with </w:t>
      </w:r>
      <w:r w:rsidR="006D70FD" w:rsidRPr="00341756">
        <w:rPr>
          <w:rFonts w:asciiTheme="majorBidi" w:hAnsiTheme="majorBidi" w:cstheme="majorBidi"/>
          <w:color w:val="auto"/>
          <w:sz w:val="24"/>
          <w:szCs w:val="24"/>
        </w:rPr>
        <w:t>some</w:t>
      </w:r>
      <w:r w:rsidRPr="00341756">
        <w:rPr>
          <w:rFonts w:asciiTheme="majorBidi" w:hAnsiTheme="majorBidi" w:cstheme="majorBidi"/>
          <w:color w:val="auto"/>
          <w:sz w:val="24"/>
          <w:szCs w:val="24"/>
        </w:rPr>
        <w:t xml:space="preserve"> literature</w:t>
      </w:r>
      <w:r w:rsidR="00853B82" w:rsidRPr="00341756">
        <w:rPr>
          <w:rFonts w:asciiTheme="majorBidi" w:hAnsiTheme="majorBidi" w:cstheme="majorBidi"/>
          <w:color w:val="auto"/>
          <w:sz w:val="24"/>
          <w:szCs w:val="24"/>
        </w:rPr>
        <w:t xml:space="preserve"> </w:t>
      </w:r>
      <w:r w:rsidR="006D7FAF" w:rsidRPr="00341756">
        <w:rPr>
          <w:rFonts w:asciiTheme="majorBidi" w:hAnsiTheme="majorBidi" w:cstheme="majorBidi"/>
          <w:color w:val="auto"/>
          <w:sz w:val="24"/>
          <w:szCs w:val="24"/>
        </w:rPr>
        <w:t>(</w:t>
      </w:r>
      <w:hyperlink w:anchor="w69" w:history="1">
        <w:r w:rsidR="00F14182" w:rsidRPr="00341756">
          <w:rPr>
            <w:rStyle w:val="Hyperlink"/>
            <w:rFonts w:asciiTheme="majorBidi" w:hAnsiTheme="majorBidi" w:cstheme="majorBidi"/>
            <w:sz w:val="24"/>
            <w:szCs w:val="24"/>
          </w:rPr>
          <w:t>Zeng, 2010</w:t>
        </w:r>
      </w:hyperlink>
      <w:r w:rsidR="00F14182" w:rsidRPr="00341756">
        <w:rPr>
          <w:rFonts w:asciiTheme="majorBidi" w:hAnsiTheme="majorBidi" w:cstheme="majorBidi"/>
          <w:color w:val="auto"/>
          <w:sz w:val="24"/>
          <w:szCs w:val="24"/>
        </w:rPr>
        <w:t xml:space="preserve">, </w:t>
      </w:r>
      <w:hyperlink w:anchor="w70" w:history="1">
        <w:r w:rsidR="009A58D5" w:rsidRPr="00341756">
          <w:rPr>
            <w:rStyle w:val="Hyperlink"/>
            <w:rFonts w:asciiTheme="majorBidi" w:hAnsiTheme="majorBidi" w:cstheme="majorBidi"/>
            <w:sz w:val="24"/>
            <w:szCs w:val="24"/>
          </w:rPr>
          <w:t>Chan et al.</w:t>
        </w:r>
        <w:r w:rsidR="006D7FAF" w:rsidRPr="00341756">
          <w:rPr>
            <w:rStyle w:val="Hyperlink"/>
            <w:rFonts w:asciiTheme="majorBidi" w:hAnsiTheme="majorBidi" w:cstheme="majorBidi"/>
            <w:sz w:val="24"/>
            <w:szCs w:val="24"/>
          </w:rPr>
          <w:t>, 2013</w:t>
        </w:r>
      </w:hyperlink>
      <w:r w:rsidR="006D7FAF" w:rsidRPr="00341756">
        <w:rPr>
          <w:rFonts w:asciiTheme="majorBidi" w:hAnsiTheme="majorBidi" w:cstheme="majorBidi"/>
          <w:color w:val="auto"/>
          <w:sz w:val="24"/>
          <w:szCs w:val="24"/>
        </w:rPr>
        <w:t>;</w:t>
      </w:r>
      <w:r w:rsidR="00CB3A23" w:rsidRPr="00341756">
        <w:rPr>
          <w:rFonts w:asciiTheme="majorBidi" w:hAnsiTheme="majorBidi" w:cstheme="majorBidi"/>
          <w:color w:val="auto"/>
          <w:sz w:val="24"/>
          <w:szCs w:val="24"/>
        </w:rPr>
        <w:t xml:space="preserve"> </w:t>
      </w:r>
      <w:hyperlink w:anchor="w71" w:history="1">
        <w:r w:rsidR="009A58D5" w:rsidRPr="00341756">
          <w:rPr>
            <w:rStyle w:val="Hyperlink"/>
            <w:rFonts w:asciiTheme="majorBidi" w:hAnsiTheme="majorBidi" w:cstheme="majorBidi"/>
            <w:sz w:val="24"/>
            <w:szCs w:val="24"/>
          </w:rPr>
          <w:t>Bradshaw et al.</w:t>
        </w:r>
        <w:r w:rsidR="00CB3A23" w:rsidRPr="00341756">
          <w:rPr>
            <w:rStyle w:val="Hyperlink"/>
            <w:rFonts w:asciiTheme="majorBidi" w:hAnsiTheme="majorBidi" w:cstheme="majorBidi"/>
            <w:sz w:val="24"/>
            <w:szCs w:val="24"/>
          </w:rPr>
          <w:t>, 2016</w:t>
        </w:r>
      </w:hyperlink>
      <w:r w:rsidR="00CB3A23" w:rsidRPr="00341756">
        <w:rPr>
          <w:rFonts w:asciiTheme="majorBidi" w:hAnsiTheme="majorBidi" w:cstheme="majorBidi"/>
          <w:color w:val="auto"/>
          <w:sz w:val="24"/>
          <w:szCs w:val="24"/>
        </w:rPr>
        <w:t>)</w:t>
      </w:r>
      <w:r w:rsidR="00A669A7">
        <w:rPr>
          <w:rFonts w:asciiTheme="majorBidi" w:hAnsiTheme="majorBidi" w:cstheme="majorBidi"/>
          <w:color w:val="auto"/>
          <w:sz w:val="24"/>
          <w:szCs w:val="24"/>
        </w:rPr>
        <w:t>.</w:t>
      </w:r>
      <w:r w:rsidR="006D70FD" w:rsidRPr="00341756">
        <w:rPr>
          <w:rFonts w:asciiTheme="majorBidi" w:hAnsiTheme="majorBidi" w:cstheme="majorBidi"/>
          <w:color w:val="auto"/>
          <w:sz w:val="24"/>
          <w:szCs w:val="24"/>
          <w:lang w:bidi="fa-IR"/>
        </w:rPr>
        <w:t xml:space="preserve"> </w:t>
      </w:r>
      <w:r w:rsidR="00A669A7">
        <w:rPr>
          <w:rFonts w:asciiTheme="majorBidi" w:hAnsiTheme="majorBidi" w:cstheme="majorBidi"/>
          <w:color w:val="auto"/>
          <w:sz w:val="24"/>
          <w:szCs w:val="24"/>
          <w:lang w:bidi="fa-IR"/>
        </w:rPr>
        <w:t>According to</w:t>
      </w:r>
      <w:r w:rsidR="006D70FD" w:rsidRPr="00341756">
        <w:rPr>
          <w:rFonts w:asciiTheme="majorBidi" w:hAnsiTheme="majorBidi" w:cstheme="majorBidi"/>
          <w:color w:val="auto"/>
          <w:sz w:val="24"/>
          <w:szCs w:val="24"/>
          <w:lang w:bidi="fa-IR"/>
        </w:rPr>
        <w:t xml:space="preserve"> </w:t>
      </w:r>
      <w:r w:rsidR="006D70FD" w:rsidRPr="00341756">
        <w:rPr>
          <w:rFonts w:asciiTheme="majorBidi" w:hAnsiTheme="majorBidi" w:cstheme="majorBidi"/>
          <w:color w:val="auto"/>
          <w:sz w:val="24"/>
          <w:szCs w:val="24"/>
        </w:rPr>
        <w:t>t</w:t>
      </w:r>
      <w:r w:rsidRPr="00341756">
        <w:rPr>
          <w:rFonts w:asciiTheme="majorBidi" w:hAnsiTheme="majorBidi" w:cstheme="majorBidi"/>
          <w:color w:val="auto"/>
          <w:sz w:val="24"/>
          <w:szCs w:val="24"/>
        </w:rPr>
        <w:t>he agency theory</w:t>
      </w:r>
      <w:r w:rsidR="00AA18C3">
        <w:rPr>
          <w:rFonts w:asciiTheme="majorBidi" w:hAnsiTheme="majorBidi" w:cstheme="majorBidi"/>
          <w:color w:val="auto"/>
          <w:sz w:val="24"/>
          <w:szCs w:val="24"/>
        </w:rPr>
        <w:t>,</w:t>
      </w:r>
      <w:r w:rsidRPr="00341756">
        <w:rPr>
          <w:rFonts w:asciiTheme="majorBidi" w:hAnsiTheme="majorBidi" w:cstheme="majorBidi"/>
          <w:color w:val="auto"/>
          <w:sz w:val="24"/>
          <w:szCs w:val="24"/>
        </w:rPr>
        <w:t xml:space="preserve"> the existence of government as a </w:t>
      </w:r>
      <w:r w:rsidR="00AB321B" w:rsidRPr="00341756">
        <w:rPr>
          <w:rFonts w:asciiTheme="majorBidi" w:hAnsiTheme="majorBidi" w:cstheme="majorBidi"/>
          <w:color w:val="auto"/>
          <w:sz w:val="24"/>
          <w:szCs w:val="24"/>
        </w:rPr>
        <w:t>major</w:t>
      </w:r>
      <w:r w:rsidRPr="00341756">
        <w:rPr>
          <w:rFonts w:asciiTheme="majorBidi" w:hAnsiTheme="majorBidi" w:cstheme="majorBidi"/>
          <w:color w:val="auto"/>
          <w:sz w:val="24"/>
          <w:szCs w:val="24"/>
        </w:rPr>
        <w:t xml:space="preserve"> shareholder can protect the shareholders’ </w:t>
      </w:r>
      <w:r w:rsidR="00DD7568" w:rsidRPr="00341756">
        <w:rPr>
          <w:rFonts w:asciiTheme="majorBidi" w:hAnsiTheme="majorBidi" w:cstheme="majorBidi"/>
          <w:color w:val="auto"/>
          <w:sz w:val="24"/>
          <w:szCs w:val="24"/>
        </w:rPr>
        <w:t>interests</w:t>
      </w:r>
      <w:r w:rsidR="00853B82" w:rsidRPr="00341756">
        <w:rPr>
          <w:rFonts w:asciiTheme="majorBidi" w:hAnsiTheme="majorBidi" w:cstheme="majorBidi"/>
          <w:color w:val="auto"/>
          <w:sz w:val="24"/>
          <w:szCs w:val="24"/>
        </w:rPr>
        <w:t xml:space="preserve">. </w:t>
      </w:r>
      <w:r w:rsidRPr="00341756">
        <w:rPr>
          <w:rFonts w:asciiTheme="majorBidi" w:hAnsiTheme="majorBidi" w:cstheme="majorBidi"/>
          <w:color w:val="auto"/>
          <w:sz w:val="24"/>
          <w:szCs w:val="24"/>
        </w:rPr>
        <w:t xml:space="preserve">In the Iranian case, government presence eases the manipulation </w:t>
      </w:r>
      <w:r w:rsidR="008D7A16">
        <w:rPr>
          <w:rFonts w:asciiTheme="majorBidi" w:hAnsiTheme="majorBidi" w:cstheme="majorBidi"/>
          <w:color w:val="auto"/>
          <w:sz w:val="24"/>
          <w:szCs w:val="24"/>
        </w:rPr>
        <w:t>via</w:t>
      </w:r>
      <w:r w:rsidR="008D7A16" w:rsidRPr="00341756">
        <w:rPr>
          <w:rFonts w:asciiTheme="majorBidi" w:hAnsiTheme="majorBidi" w:cstheme="majorBidi"/>
          <w:color w:val="auto"/>
          <w:sz w:val="24"/>
          <w:szCs w:val="24"/>
        </w:rPr>
        <w:t xml:space="preserve"> </w:t>
      </w:r>
      <w:r w:rsidRPr="00341756">
        <w:rPr>
          <w:rFonts w:asciiTheme="majorBidi" w:hAnsiTheme="majorBidi" w:cstheme="majorBidi"/>
          <w:color w:val="auto"/>
          <w:sz w:val="24"/>
          <w:szCs w:val="24"/>
        </w:rPr>
        <w:t xml:space="preserve">the relationship power and intensifies the tax avoidance reflected on the modified auditor’s opinion. </w:t>
      </w:r>
      <w:r w:rsidR="004875EF">
        <w:rPr>
          <w:rFonts w:asciiTheme="majorBidi" w:hAnsiTheme="majorBidi" w:cstheme="majorBidi"/>
          <w:color w:val="auto"/>
          <w:sz w:val="24"/>
          <w:szCs w:val="24"/>
        </w:rPr>
        <w:t>Hence</w:t>
      </w:r>
      <w:r w:rsidR="004875EF" w:rsidRPr="004875EF">
        <w:rPr>
          <w:rFonts w:asciiTheme="majorBidi" w:hAnsiTheme="majorBidi" w:cstheme="majorBidi"/>
          <w:color w:val="auto"/>
          <w:sz w:val="24"/>
          <w:szCs w:val="24"/>
        </w:rPr>
        <w:t xml:space="preserve">, government ownership increases the firm’s risk and provides an opportunity for the managers to look for their short-term interests instead of the firm’s </w:t>
      </w:r>
      <w:proofErr w:type="spellStart"/>
      <w:r w:rsidR="004875EF" w:rsidRPr="004875EF">
        <w:rPr>
          <w:rFonts w:asciiTheme="majorBidi" w:hAnsiTheme="majorBidi" w:cstheme="majorBidi"/>
          <w:color w:val="auto"/>
          <w:sz w:val="24"/>
          <w:szCs w:val="24"/>
        </w:rPr>
        <w:t>interests.</w:t>
      </w:r>
      <w:r w:rsidRPr="00341756">
        <w:rPr>
          <w:rFonts w:asciiTheme="majorBidi" w:hAnsiTheme="majorBidi" w:cstheme="majorBidi"/>
          <w:color w:val="auto"/>
          <w:sz w:val="24"/>
          <w:szCs w:val="24"/>
        </w:rPr>
        <w:t>This</w:t>
      </w:r>
      <w:proofErr w:type="spellEnd"/>
      <w:r w:rsidRPr="00341756">
        <w:rPr>
          <w:rFonts w:asciiTheme="majorBidi" w:hAnsiTheme="majorBidi" w:cstheme="majorBidi"/>
          <w:color w:val="auto"/>
          <w:sz w:val="24"/>
          <w:szCs w:val="24"/>
        </w:rPr>
        <w:t xml:space="preserve"> result is in line with </w:t>
      </w:r>
      <w:hyperlink w:anchor="w72" w:history="1">
        <w:r w:rsidRPr="00341756">
          <w:rPr>
            <w:rStyle w:val="Hyperlink"/>
            <w:rFonts w:asciiTheme="majorBidi" w:hAnsiTheme="majorBidi" w:cstheme="majorBidi"/>
            <w:sz w:val="24"/>
            <w:szCs w:val="24"/>
          </w:rPr>
          <w:t>Chen et al. (2018)</w:t>
        </w:r>
      </w:hyperlink>
      <w:r w:rsidRPr="00341756">
        <w:rPr>
          <w:rFonts w:asciiTheme="majorBidi" w:hAnsiTheme="majorBidi" w:cstheme="majorBidi"/>
          <w:color w:val="auto"/>
          <w:sz w:val="24"/>
          <w:szCs w:val="24"/>
        </w:rPr>
        <w:t xml:space="preserve"> study that showed that government-owned firms have a stronger incentive to </w:t>
      </w:r>
      <w:r w:rsidRPr="00341756">
        <w:rPr>
          <w:rFonts w:asciiTheme="majorBidi" w:hAnsiTheme="majorBidi" w:cstheme="majorBidi"/>
          <w:sz w:val="24"/>
          <w:szCs w:val="24"/>
        </w:rPr>
        <w:t xml:space="preserve">reduce their tax payment when the pre-tax earnings are considered as the valuation index, </w:t>
      </w:r>
      <w:r w:rsidR="002827D7">
        <w:rPr>
          <w:rFonts w:asciiTheme="majorBidi" w:hAnsiTheme="majorBidi" w:cstheme="majorBidi"/>
          <w:sz w:val="24"/>
          <w:szCs w:val="24"/>
        </w:rPr>
        <w:t>compared to</w:t>
      </w:r>
      <w:r w:rsidRPr="00341756">
        <w:rPr>
          <w:rFonts w:asciiTheme="majorBidi" w:hAnsiTheme="majorBidi" w:cstheme="majorBidi"/>
          <w:sz w:val="24"/>
          <w:szCs w:val="24"/>
        </w:rPr>
        <w:t xml:space="preserve"> the private firms.</w:t>
      </w:r>
    </w:p>
    <w:p w14:paraId="23676E72" w14:textId="0D5EDC83" w:rsidR="005D5391" w:rsidRPr="00341756" w:rsidRDefault="00E73ED1" w:rsidP="0082739F">
      <w:pPr>
        <w:jc w:val="both"/>
        <w:rPr>
          <w:rFonts w:asciiTheme="majorBidi" w:hAnsiTheme="majorBidi" w:cstheme="majorBidi"/>
          <w:color w:val="auto"/>
          <w:sz w:val="24"/>
          <w:szCs w:val="24"/>
          <w:rtl/>
          <w:lang w:bidi="fa-IR"/>
        </w:rPr>
      </w:pPr>
      <w:r w:rsidRPr="00341756">
        <w:rPr>
          <w:rFonts w:asciiTheme="majorBidi" w:hAnsiTheme="majorBidi" w:cstheme="majorBidi"/>
          <w:color w:val="auto"/>
          <w:sz w:val="24"/>
          <w:szCs w:val="24"/>
          <w:lang w:bidi="fa-IR"/>
        </w:rPr>
        <w:t>The</w:t>
      </w:r>
      <w:r w:rsidR="00BA33B4" w:rsidRPr="00341756">
        <w:rPr>
          <w:rFonts w:asciiTheme="majorBidi" w:hAnsiTheme="majorBidi" w:cstheme="majorBidi"/>
          <w:color w:val="auto"/>
          <w:sz w:val="24"/>
          <w:szCs w:val="24"/>
          <w:lang w:bidi="fa-IR"/>
        </w:rPr>
        <w:t xml:space="preserve"> theoretical framework considered</w:t>
      </w:r>
      <w:r w:rsidRPr="00341756">
        <w:rPr>
          <w:rFonts w:asciiTheme="majorBidi" w:hAnsiTheme="majorBidi" w:cstheme="majorBidi"/>
          <w:color w:val="auto"/>
          <w:sz w:val="24"/>
          <w:szCs w:val="24"/>
          <w:lang w:bidi="fa-IR"/>
        </w:rPr>
        <w:t xml:space="preserve">, the role of government in the ownership structure as a mechanism of corporate governance </w:t>
      </w:r>
      <w:r w:rsidR="00950BAB">
        <w:rPr>
          <w:rFonts w:asciiTheme="majorBidi" w:hAnsiTheme="majorBidi" w:cstheme="majorBidi"/>
          <w:color w:val="auto"/>
          <w:sz w:val="24"/>
          <w:szCs w:val="24"/>
          <w:lang w:bidi="fa-IR"/>
        </w:rPr>
        <w:t>which</w:t>
      </w:r>
      <w:r w:rsidR="00950BAB" w:rsidRPr="00341756">
        <w:rPr>
          <w:rFonts w:asciiTheme="majorBidi" w:hAnsiTheme="majorBidi" w:cstheme="majorBidi"/>
          <w:color w:val="auto"/>
          <w:sz w:val="24"/>
          <w:szCs w:val="24"/>
          <w:lang w:bidi="fa-IR"/>
        </w:rPr>
        <w:t xml:space="preserve"> </w:t>
      </w:r>
      <w:r w:rsidRPr="00341756">
        <w:rPr>
          <w:rFonts w:asciiTheme="majorBidi" w:hAnsiTheme="majorBidi" w:cstheme="majorBidi"/>
          <w:color w:val="auto"/>
          <w:sz w:val="24"/>
          <w:szCs w:val="24"/>
          <w:lang w:bidi="fa-IR"/>
        </w:rPr>
        <w:t xml:space="preserve">can reduce the agency problems </w:t>
      </w:r>
      <w:r w:rsidR="00A50DA2">
        <w:rPr>
          <w:rFonts w:asciiTheme="majorBidi" w:hAnsiTheme="majorBidi" w:cstheme="majorBidi"/>
          <w:color w:val="auto"/>
          <w:sz w:val="24"/>
          <w:szCs w:val="24"/>
          <w:lang w:bidi="fa-IR"/>
        </w:rPr>
        <w:t>among</w:t>
      </w:r>
      <w:r w:rsidR="00A50DA2" w:rsidRPr="00341756">
        <w:rPr>
          <w:rFonts w:asciiTheme="majorBidi" w:hAnsiTheme="majorBidi" w:cstheme="majorBidi"/>
          <w:color w:val="auto"/>
          <w:sz w:val="24"/>
          <w:szCs w:val="24"/>
          <w:lang w:bidi="fa-IR"/>
        </w:rPr>
        <w:t xml:space="preserve"> </w:t>
      </w:r>
      <w:r w:rsidRPr="00341756">
        <w:rPr>
          <w:rFonts w:asciiTheme="majorBidi" w:hAnsiTheme="majorBidi" w:cstheme="majorBidi"/>
          <w:color w:val="auto"/>
          <w:sz w:val="24"/>
          <w:szCs w:val="24"/>
          <w:lang w:bidi="fa-IR"/>
        </w:rPr>
        <w:t>shareholders (principal) and manager (agent) because government have experience and resources that enable it to effectively monitor management decisions.</w:t>
      </w:r>
      <w:r w:rsidR="005D5391" w:rsidRPr="00341756">
        <w:rPr>
          <w:rFonts w:asciiTheme="majorBidi" w:hAnsiTheme="majorBidi" w:cstheme="majorBidi"/>
          <w:color w:val="auto"/>
          <w:sz w:val="24"/>
          <w:szCs w:val="24"/>
          <w:lang w:bidi="fa-IR"/>
        </w:rPr>
        <w:t xml:space="preserve"> </w:t>
      </w:r>
      <w:r w:rsidR="00863457">
        <w:rPr>
          <w:rFonts w:asciiTheme="majorBidi" w:hAnsiTheme="majorBidi" w:cstheme="majorBidi"/>
          <w:color w:val="auto"/>
          <w:sz w:val="24"/>
          <w:szCs w:val="24"/>
          <w:lang w:bidi="fa-IR"/>
        </w:rPr>
        <w:t>In</w:t>
      </w:r>
      <w:r w:rsidR="00BA33B4" w:rsidRPr="00341756">
        <w:rPr>
          <w:rFonts w:asciiTheme="majorBidi" w:hAnsiTheme="majorBidi" w:cstheme="majorBidi"/>
          <w:color w:val="auto"/>
          <w:sz w:val="24"/>
          <w:szCs w:val="24"/>
          <w:lang w:bidi="fa-IR"/>
        </w:rPr>
        <w:t xml:space="preserve"> reality,</w:t>
      </w:r>
      <w:r w:rsidR="005D5391" w:rsidRPr="00341756">
        <w:rPr>
          <w:color w:val="auto"/>
        </w:rPr>
        <w:t xml:space="preserve"> </w:t>
      </w:r>
      <w:r w:rsidR="005D5391" w:rsidRPr="00341756">
        <w:rPr>
          <w:rFonts w:asciiTheme="majorBidi" w:hAnsiTheme="majorBidi" w:cstheme="majorBidi"/>
          <w:color w:val="auto"/>
          <w:sz w:val="24"/>
          <w:szCs w:val="24"/>
          <w:lang w:bidi="fa-IR"/>
        </w:rPr>
        <w:t xml:space="preserve">the manager of </w:t>
      </w:r>
      <w:r w:rsidR="009D31CE">
        <w:rPr>
          <w:rFonts w:asciiTheme="majorBidi" w:hAnsiTheme="majorBidi" w:cstheme="majorBidi"/>
          <w:color w:val="auto"/>
          <w:sz w:val="24"/>
          <w:szCs w:val="24"/>
          <w:lang w:bidi="fa-IR"/>
        </w:rPr>
        <w:t xml:space="preserve">a </w:t>
      </w:r>
      <w:r w:rsidR="00A735BA">
        <w:rPr>
          <w:rFonts w:asciiTheme="majorBidi" w:hAnsiTheme="majorBidi" w:cstheme="majorBidi"/>
          <w:color w:val="auto"/>
          <w:sz w:val="24"/>
          <w:szCs w:val="24"/>
          <w:lang w:bidi="fa-IR"/>
        </w:rPr>
        <w:t>governmental</w:t>
      </w:r>
      <w:r w:rsidR="00A735BA" w:rsidRPr="00341756">
        <w:rPr>
          <w:rFonts w:asciiTheme="majorBidi" w:hAnsiTheme="majorBidi" w:cstheme="majorBidi"/>
          <w:color w:val="auto"/>
          <w:sz w:val="24"/>
          <w:szCs w:val="24"/>
          <w:lang w:bidi="fa-IR"/>
        </w:rPr>
        <w:t xml:space="preserve"> </w:t>
      </w:r>
      <w:r w:rsidR="005D5391" w:rsidRPr="00341756">
        <w:rPr>
          <w:rFonts w:asciiTheme="majorBidi" w:hAnsiTheme="majorBidi" w:cstheme="majorBidi"/>
          <w:color w:val="auto"/>
          <w:sz w:val="24"/>
          <w:szCs w:val="24"/>
          <w:lang w:bidi="fa-IR"/>
        </w:rPr>
        <w:t xml:space="preserve">company has political connections because he/she considers himself/herself dependent on the government. Their political connections may also help reduce and limit the penalties imposed in the event that their firms are convicted of tax </w:t>
      </w:r>
      <w:r w:rsidR="00F86F40" w:rsidRPr="00341756">
        <w:rPr>
          <w:rFonts w:asciiTheme="majorBidi" w:hAnsiTheme="majorBidi" w:cstheme="majorBidi"/>
          <w:color w:val="auto"/>
          <w:sz w:val="24"/>
          <w:szCs w:val="24"/>
          <w:lang w:bidi="fa-IR"/>
        </w:rPr>
        <w:t>avoidance</w:t>
      </w:r>
      <w:r w:rsidR="005D5391" w:rsidRPr="00341756">
        <w:rPr>
          <w:rFonts w:asciiTheme="majorBidi" w:hAnsiTheme="majorBidi" w:cstheme="majorBidi"/>
          <w:color w:val="auto"/>
          <w:sz w:val="24"/>
          <w:szCs w:val="24"/>
          <w:lang w:bidi="fa-IR"/>
        </w:rPr>
        <w:t>.</w:t>
      </w:r>
      <w:r w:rsidR="00F86F40" w:rsidRPr="00341756">
        <w:rPr>
          <w:rFonts w:asciiTheme="majorBidi" w:hAnsiTheme="majorBidi" w:cstheme="majorBidi"/>
          <w:color w:val="auto"/>
          <w:sz w:val="24"/>
          <w:szCs w:val="24"/>
          <w:lang w:bidi="fa-IR"/>
        </w:rPr>
        <w:t xml:space="preserve"> </w:t>
      </w:r>
      <w:r w:rsidR="008A26E7" w:rsidRPr="00341756">
        <w:rPr>
          <w:rFonts w:asciiTheme="majorBidi" w:hAnsiTheme="majorBidi" w:cstheme="majorBidi"/>
          <w:color w:val="auto"/>
          <w:sz w:val="24"/>
          <w:szCs w:val="24"/>
          <w:lang w:bidi="fa-IR"/>
        </w:rPr>
        <w:t>Therefore, the presence of the government in the ownership structure gives him/her the opportunity to achieve personal interests.</w:t>
      </w:r>
    </w:p>
    <w:p w14:paraId="37599356" w14:textId="6CECD327" w:rsidR="00ED747E" w:rsidRPr="00341756" w:rsidRDefault="00ED747E" w:rsidP="008E16B9">
      <w:pPr>
        <w:jc w:val="both"/>
        <w:rPr>
          <w:rFonts w:asciiTheme="majorBidi" w:hAnsiTheme="majorBidi" w:cstheme="majorBidi"/>
          <w:sz w:val="24"/>
          <w:szCs w:val="24"/>
        </w:rPr>
      </w:pPr>
      <w:r w:rsidRPr="00341756">
        <w:rPr>
          <w:rFonts w:asciiTheme="majorBidi" w:hAnsiTheme="majorBidi" w:cstheme="majorBidi"/>
          <w:sz w:val="24"/>
          <w:szCs w:val="24"/>
        </w:rPr>
        <w:t xml:space="preserve">Like many other accounting and auditing researchers, this study deals with some limitations. There is a difference between the firm tax declaration and the definite target tax for the tax authorities. Due to data availability, we used the declaration tax to measure tax avoidance, which may affect the results we obtained. </w:t>
      </w:r>
      <w:r w:rsidR="008E16B9">
        <w:rPr>
          <w:rFonts w:asciiTheme="majorBidi" w:hAnsiTheme="majorBidi" w:cstheme="majorBidi"/>
          <w:sz w:val="24"/>
          <w:szCs w:val="24"/>
        </w:rPr>
        <w:t>Furthermore</w:t>
      </w:r>
      <w:r w:rsidRPr="00341756">
        <w:rPr>
          <w:rFonts w:asciiTheme="majorBidi" w:hAnsiTheme="majorBidi" w:cstheme="majorBidi"/>
          <w:sz w:val="24"/>
          <w:szCs w:val="24"/>
        </w:rPr>
        <w:t xml:space="preserve">, the unavailability of potential measures to evaluate uncertainty may influence the results. </w:t>
      </w:r>
      <w:r w:rsidR="008E16B9">
        <w:rPr>
          <w:rFonts w:asciiTheme="majorBidi" w:hAnsiTheme="majorBidi" w:cstheme="majorBidi"/>
          <w:sz w:val="24"/>
          <w:szCs w:val="24"/>
        </w:rPr>
        <w:t>Moreover</w:t>
      </w:r>
      <w:r w:rsidRPr="00341756">
        <w:rPr>
          <w:rFonts w:asciiTheme="majorBidi" w:hAnsiTheme="majorBidi" w:cstheme="majorBidi"/>
          <w:sz w:val="24"/>
          <w:szCs w:val="24"/>
        </w:rPr>
        <w:t>, our results do not consider the government presence positive consequences, such as the protection for shareholders. The reason is that tax avoidance does not transfer the resources from the government to the people; it instead increases the agency cost.</w:t>
      </w:r>
    </w:p>
    <w:p w14:paraId="6E8E0233" w14:textId="062403A0" w:rsidR="00162DD0" w:rsidRPr="00341756" w:rsidRDefault="00162DD0" w:rsidP="00BA4949">
      <w:pPr>
        <w:jc w:val="both"/>
        <w:rPr>
          <w:rFonts w:asciiTheme="majorBidi" w:hAnsiTheme="majorBidi" w:cstheme="majorBidi"/>
          <w:sz w:val="24"/>
          <w:szCs w:val="24"/>
        </w:rPr>
      </w:pPr>
      <w:r w:rsidRPr="00341756">
        <w:rPr>
          <w:rFonts w:asciiTheme="majorBidi" w:hAnsiTheme="majorBidi" w:cstheme="majorBidi"/>
          <w:sz w:val="24"/>
          <w:szCs w:val="24"/>
        </w:rPr>
        <w:t>Future research can estimate the uncertainty role in the investment process since we gained some evidence that uncertainty stimulates tax avoidance. Our study result evaluated the tax planning in the format of tax avoidance, but we recommend that the researchers study the effect of tax evasion, which is another approach of tax strategies. The ownership structure is one of the corporate governance elements we used in our study; future research may examine other aspects of the ownership structure, such as the ownership concentration, the institutional and family ownership.</w:t>
      </w:r>
    </w:p>
    <w:p w14:paraId="7A1D8E31" w14:textId="77777777" w:rsidR="007B3744" w:rsidRPr="00341756" w:rsidRDefault="007B3744" w:rsidP="007D21BB">
      <w:pPr>
        <w:jc w:val="both"/>
        <w:rPr>
          <w:rFonts w:asciiTheme="majorBidi" w:hAnsiTheme="majorBidi" w:cstheme="majorBidi"/>
          <w:sz w:val="24"/>
          <w:szCs w:val="24"/>
        </w:rPr>
      </w:pPr>
    </w:p>
    <w:p w14:paraId="4EFE9B43" w14:textId="77777777" w:rsidR="007B3744" w:rsidRPr="00341756" w:rsidRDefault="007B3744" w:rsidP="007B3744">
      <w:pPr>
        <w:jc w:val="both"/>
        <w:rPr>
          <w:rFonts w:asciiTheme="majorBidi" w:hAnsiTheme="majorBidi" w:cstheme="majorBidi"/>
          <w:b/>
          <w:bCs/>
          <w:sz w:val="24"/>
          <w:szCs w:val="24"/>
        </w:rPr>
      </w:pPr>
      <w:r w:rsidRPr="00341756">
        <w:rPr>
          <w:rFonts w:asciiTheme="majorBidi" w:hAnsiTheme="majorBidi" w:cstheme="majorBidi"/>
          <w:b/>
          <w:bCs/>
          <w:sz w:val="24"/>
          <w:szCs w:val="24"/>
        </w:rPr>
        <w:t>References</w:t>
      </w:r>
    </w:p>
    <w:p w14:paraId="7BCF2FF2" w14:textId="77777777" w:rsidR="006E4B3F" w:rsidRDefault="006E4B3F" w:rsidP="006E4B3F">
      <w:pPr>
        <w:jc w:val="both"/>
        <w:rPr>
          <w:rFonts w:asciiTheme="majorBidi" w:hAnsiTheme="majorBidi" w:cstheme="majorBidi"/>
          <w:sz w:val="20"/>
          <w:szCs w:val="20"/>
        </w:rPr>
      </w:pPr>
      <w:r w:rsidRPr="00886AFD">
        <w:rPr>
          <w:rFonts w:asciiTheme="majorBidi" w:hAnsiTheme="majorBidi" w:cstheme="majorBidi"/>
          <w:sz w:val="20"/>
          <w:szCs w:val="20"/>
        </w:rPr>
        <w:t>Aba</w:t>
      </w:r>
      <w:bookmarkStart w:id="2" w:name="W79"/>
      <w:bookmarkEnd w:id="2"/>
      <w:r w:rsidRPr="00886AFD">
        <w:rPr>
          <w:rFonts w:asciiTheme="majorBidi" w:hAnsiTheme="majorBidi" w:cstheme="majorBidi"/>
          <w:sz w:val="20"/>
          <w:szCs w:val="20"/>
        </w:rPr>
        <w:t>d, D., Sánchez</w:t>
      </w:r>
      <w:r w:rsidRPr="00886AFD">
        <w:rPr>
          <w:rFonts w:ascii="Cambria Math" w:hAnsi="Cambria Math" w:cs="Cambria Math"/>
          <w:sz w:val="20"/>
          <w:szCs w:val="20"/>
        </w:rPr>
        <w:t>‐</w:t>
      </w:r>
      <w:proofErr w:type="spellStart"/>
      <w:r w:rsidRPr="00886AFD">
        <w:rPr>
          <w:rFonts w:asciiTheme="majorBidi" w:hAnsiTheme="majorBidi" w:cstheme="majorBidi"/>
          <w:sz w:val="20"/>
          <w:szCs w:val="20"/>
        </w:rPr>
        <w:t>Ballesta</w:t>
      </w:r>
      <w:proofErr w:type="spellEnd"/>
      <w:r w:rsidRPr="00886AFD">
        <w:rPr>
          <w:rFonts w:asciiTheme="majorBidi" w:hAnsiTheme="majorBidi" w:cstheme="majorBidi"/>
          <w:sz w:val="20"/>
          <w:szCs w:val="20"/>
        </w:rPr>
        <w:t xml:space="preserve">, J.P. and </w:t>
      </w:r>
      <w:proofErr w:type="spellStart"/>
      <w:r w:rsidRPr="00886AFD">
        <w:rPr>
          <w:rFonts w:asciiTheme="majorBidi" w:hAnsiTheme="majorBidi" w:cstheme="majorBidi"/>
          <w:sz w:val="20"/>
          <w:szCs w:val="20"/>
        </w:rPr>
        <w:t>Yag</w:t>
      </w:r>
      <w:r w:rsidRPr="00886AFD">
        <w:rPr>
          <w:rFonts w:ascii="Times New Roman" w:hAnsi="Times New Roman" w:cs="Times New Roman"/>
          <w:sz w:val="20"/>
          <w:szCs w:val="20"/>
        </w:rPr>
        <w:t>ü</w:t>
      </w:r>
      <w:r w:rsidRPr="00886AFD">
        <w:rPr>
          <w:rFonts w:asciiTheme="majorBidi" w:hAnsiTheme="majorBidi" w:cstheme="majorBidi"/>
          <w:sz w:val="20"/>
          <w:szCs w:val="20"/>
        </w:rPr>
        <w:t>e</w:t>
      </w:r>
      <w:proofErr w:type="spellEnd"/>
      <w:r w:rsidRPr="00886AFD">
        <w:rPr>
          <w:rFonts w:asciiTheme="majorBidi" w:hAnsiTheme="majorBidi" w:cstheme="majorBidi"/>
          <w:sz w:val="20"/>
          <w:szCs w:val="20"/>
        </w:rPr>
        <w:t xml:space="preserve">, J. (2017). Audit opinions and information asymmetry in the stock market. Account Finance, 57: 565-595. </w:t>
      </w:r>
      <w:hyperlink r:id="rId8" w:history="1">
        <w:r w:rsidRPr="00AE3F58">
          <w:rPr>
            <w:rStyle w:val="Hyperlink"/>
            <w:rFonts w:asciiTheme="majorBidi" w:hAnsiTheme="majorBidi" w:cstheme="majorBidi"/>
            <w:sz w:val="20"/>
            <w:szCs w:val="20"/>
          </w:rPr>
          <w:t>https://doi.org/10.1111/acfi.12175</w:t>
        </w:r>
      </w:hyperlink>
      <w:r w:rsidRPr="00886AFD">
        <w:rPr>
          <w:rFonts w:asciiTheme="majorBidi" w:hAnsiTheme="majorBidi" w:cstheme="majorBidi"/>
          <w:sz w:val="20"/>
          <w:szCs w:val="20"/>
        </w:rPr>
        <w:t>.</w:t>
      </w:r>
    </w:p>
    <w:p w14:paraId="566F56BE" w14:textId="77777777" w:rsidR="006E4B3F" w:rsidRDefault="006E4B3F" w:rsidP="006E4B3F">
      <w:pPr>
        <w:jc w:val="both"/>
        <w:rPr>
          <w:rFonts w:asciiTheme="majorBidi" w:hAnsiTheme="majorBidi" w:cstheme="majorBidi"/>
          <w:sz w:val="20"/>
          <w:szCs w:val="20"/>
        </w:rPr>
      </w:pPr>
      <w:r w:rsidRPr="0059170A">
        <w:rPr>
          <w:rFonts w:asciiTheme="majorBidi" w:hAnsiTheme="majorBidi" w:cstheme="majorBidi"/>
          <w:sz w:val="20"/>
          <w:szCs w:val="20"/>
        </w:rPr>
        <w:lastRenderedPageBreak/>
        <w:t>Agrawal. K. (2007). Corporate Tax Planning, sixth edition, Delhi Unive</w:t>
      </w:r>
      <w:bookmarkStart w:id="3" w:name="w73"/>
      <w:bookmarkEnd w:id="3"/>
      <w:r w:rsidRPr="0059170A">
        <w:rPr>
          <w:rFonts w:asciiTheme="majorBidi" w:hAnsiTheme="majorBidi" w:cstheme="majorBidi"/>
          <w:sz w:val="20"/>
          <w:szCs w:val="20"/>
        </w:rPr>
        <w:t xml:space="preserve">rsity, </w:t>
      </w:r>
      <w:r w:rsidRPr="00BC4BD7">
        <w:rPr>
          <w:rFonts w:asciiTheme="majorBidi" w:hAnsiTheme="majorBidi" w:cstheme="majorBidi"/>
          <w:sz w:val="20"/>
          <w:szCs w:val="20"/>
        </w:rPr>
        <w:t>Vol</w:t>
      </w:r>
      <w:r>
        <w:rPr>
          <w:rFonts w:asciiTheme="majorBidi" w:hAnsiTheme="majorBidi" w:cstheme="majorBidi"/>
          <w:sz w:val="20"/>
          <w:szCs w:val="20"/>
        </w:rPr>
        <w:t xml:space="preserve">. </w:t>
      </w:r>
      <w:r w:rsidRPr="0059170A">
        <w:rPr>
          <w:rFonts w:asciiTheme="majorBidi" w:hAnsiTheme="majorBidi" w:cstheme="majorBidi"/>
          <w:sz w:val="20"/>
          <w:szCs w:val="20"/>
        </w:rPr>
        <w:t xml:space="preserve">1, </w:t>
      </w:r>
      <w:r w:rsidRPr="00CD081E">
        <w:rPr>
          <w:rFonts w:asciiTheme="majorBidi" w:hAnsiTheme="majorBidi" w:cstheme="majorBidi"/>
          <w:sz w:val="20"/>
          <w:szCs w:val="20"/>
        </w:rPr>
        <w:t>pp</w:t>
      </w:r>
      <w:r>
        <w:rPr>
          <w:rFonts w:asciiTheme="majorBidi" w:hAnsiTheme="majorBidi" w:cstheme="majorBidi"/>
          <w:sz w:val="20"/>
          <w:szCs w:val="20"/>
        </w:rPr>
        <w:t xml:space="preserve">. </w:t>
      </w:r>
      <w:r w:rsidRPr="0059170A">
        <w:rPr>
          <w:rFonts w:asciiTheme="majorBidi" w:hAnsiTheme="majorBidi" w:cstheme="majorBidi"/>
          <w:sz w:val="20"/>
          <w:szCs w:val="20"/>
        </w:rPr>
        <w:t>1-13.</w:t>
      </w:r>
      <w:r>
        <w:rPr>
          <w:rFonts w:asciiTheme="majorBidi" w:hAnsiTheme="majorBidi" w:cstheme="majorBidi"/>
          <w:sz w:val="20"/>
          <w:szCs w:val="20"/>
        </w:rPr>
        <w:t xml:space="preserve"> </w:t>
      </w:r>
      <w:hyperlink r:id="rId9" w:history="1">
        <w:r w:rsidRPr="0001587C">
          <w:rPr>
            <w:rStyle w:val="Hyperlink"/>
            <w:rFonts w:asciiTheme="majorBidi" w:hAnsiTheme="majorBidi" w:cstheme="majorBidi"/>
            <w:sz w:val="20"/>
            <w:szCs w:val="20"/>
          </w:rPr>
          <w:t>https://www.amazon.com/Corporate-Tax-Planning-6th-Vol/dp/812690917X.</w:t>
        </w:r>
      </w:hyperlink>
    </w:p>
    <w:p w14:paraId="085F8C5F" w14:textId="77777777" w:rsidR="006E4B3F" w:rsidRPr="00CB0385" w:rsidRDefault="006E4B3F" w:rsidP="006E4B3F">
      <w:pPr>
        <w:jc w:val="both"/>
        <w:rPr>
          <w:rFonts w:asciiTheme="majorBidi" w:hAnsiTheme="majorBidi" w:cstheme="majorBidi"/>
          <w:sz w:val="20"/>
          <w:szCs w:val="20"/>
          <w:rtl/>
        </w:rPr>
      </w:pPr>
      <w:bookmarkStart w:id="4" w:name="w3"/>
      <w:r w:rsidRPr="00402FC2">
        <w:rPr>
          <w:rFonts w:asciiTheme="majorBidi" w:hAnsiTheme="majorBidi" w:cstheme="majorBidi"/>
          <w:sz w:val="20"/>
          <w:szCs w:val="20"/>
        </w:rPr>
        <w:t xml:space="preserve">Ayers, B.C. Jiang, J. and </w:t>
      </w:r>
      <w:proofErr w:type="spellStart"/>
      <w:r w:rsidRPr="00402FC2">
        <w:rPr>
          <w:rFonts w:asciiTheme="majorBidi" w:hAnsiTheme="majorBidi" w:cstheme="majorBidi"/>
          <w:sz w:val="20"/>
          <w:szCs w:val="20"/>
        </w:rPr>
        <w:t>Laplante</w:t>
      </w:r>
      <w:proofErr w:type="spellEnd"/>
      <w:r w:rsidRPr="00402FC2">
        <w:rPr>
          <w:rFonts w:asciiTheme="majorBidi" w:hAnsiTheme="majorBidi" w:cstheme="majorBidi"/>
          <w:sz w:val="20"/>
          <w:szCs w:val="20"/>
        </w:rPr>
        <w:t>, S.K. (2009). Taxable income as a performance measure: the effects of tax planning and earnings quality, Contemporary Accounting Research, Vol. 26 No. 1, pp. 15-54.</w:t>
      </w:r>
      <w:r>
        <w:rPr>
          <w:rFonts w:asciiTheme="majorBidi" w:hAnsiTheme="majorBidi" w:cstheme="majorBidi"/>
          <w:sz w:val="20"/>
          <w:szCs w:val="20"/>
        </w:rPr>
        <w:t xml:space="preserve"> </w:t>
      </w:r>
      <w:hyperlink r:id="rId10" w:history="1">
        <w:r w:rsidRPr="00E953A6">
          <w:rPr>
            <w:rStyle w:val="Hyperlink"/>
            <w:rFonts w:asciiTheme="majorBidi" w:hAnsiTheme="majorBidi" w:cstheme="majorBidi"/>
            <w:sz w:val="20"/>
            <w:szCs w:val="20"/>
          </w:rPr>
          <w:t>https://doi.org/10.1506/car.26.1.1</w:t>
        </w:r>
      </w:hyperlink>
      <w:r>
        <w:rPr>
          <w:rFonts w:asciiTheme="majorBidi" w:hAnsiTheme="majorBidi" w:cstheme="majorBidi"/>
          <w:sz w:val="20"/>
          <w:szCs w:val="20"/>
        </w:rPr>
        <w:t xml:space="preserve">. </w:t>
      </w:r>
    </w:p>
    <w:p w14:paraId="5498C7B7" w14:textId="77777777" w:rsidR="006E4B3F" w:rsidRDefault="006E4B3F" w:rsidP="006E4B3F">
      <w:pPr>
        <w:jc w:val="both"/>
        <w:rPr>
          <w:rFonts w:asciiTheme="majorBidi" w:hAnsiTheme="majorBidi" w:cstheme="majorBidi"/>
          <w:sz w:val="20"/>
          <w:szCs w:val="20"/>
          <w:rtl/>
        </w:rPr>
      </w:pPr>
      <w:bookmarkStart w:id="5" w:name="w42"/>
      <w:bookmarkEnd w:id="4"/>
      <w:proofErr w:type="spellStart"/>
      <w:r w:rsidRPr="00BC4BD7">
        <w:rPr>
          <w:rFonts w:asciiTheme="majorBidi" w:hAnsiTheme="majorBidi" w:cstheme="majorBidi"/>
          <w:sz w:val="20"/>
          <w:szCs w:val="20"/>
        </w:rPr>
        <w:t>Badertscher</w:t>
      </w:r>
      <w:proofErr w:type="spellEnd"/>
      <w:r w:rsidRPr="00BC4BD7">
        <w:rPr>
          <w:rFonts w:asciiTheme="majorBidi" w:hAnsiTheme="majorBidi" w:cstheme="majorBidi"/>
          <w:sz w:val="20"/>
          <w:szCs w:val="20"/>
        </w:rPr>
        <w:t xml:space="preserve">, B., Katz, S. and </w:t>
      </w:r>
      <w:proofErr w:type="spellStart"/>
      <w:r w:rsidRPr="00BC4BD7">
        <w:rPr>
          <w:rFonts w:asciiTheme="majorBidi" w:hAnsiTheme="majorBidi" w:cstheme="majorBidi"/>
          <w:sz w:val="20"/>
          <w:szCs w:val="20"/>
        </w:rPr>
        <w:t>Rego</w:t>
      </w:r>
      <w:proofErr w:type="spellEnd"/>
      <w:r w:rsidRPr="00BC4BD7">
        <w:rPr>
          <w:rFonts w:asciiTheme="majorBidi" w:hAnsiTheme="majorBidi" w:cstheme="majorBidi"/>
          <w:sz w:val="20"/>
          <w:szCs w:val="20"/>
        </w:rPr>
        <w:t>, S. (2013</w:t>
      </w:r>
      <w:proofErr w:type="gramStart"/>
      <w:r w:rsidRPr="00BC4BD7">
        <w:rPr>
          <w:rFonts w:asciiTheme="majorBidi" w:hAnsiTheme="majorBidi" w:cstheme="majorBidi"/>
          <w:sz w:val="20"/>
          <w:szCs w:val="20"/>
        </w:rPr>
        <w:t>).The</w:t>
      </w:r>
      <w:proofErr w:type="gramEnd"/>
      <w:r w:rsidRPr="00BC4BD7">
        <w:rPr>
          <w:rFonts w:asciiTheme="majorBidi" w:hAnsiTheme="majorBidi" w:cstheme="majorBidi"/>
          <w:sz w:val="20"/>
          <w:szCs w:val="20"/>
        </w:rPr>
        <w:t xml:space="preserve"> separation of ownership and control and corporate tax avoidance. Journal of Accounting and Economics, Vol. 56 No. 2, pp. 228-250.</w:t>
      </w:r>
      <w:r>
        <w:rPr>
          <w:rFonts w:asciiTheme="majorBidi" w:hAnsiTheme="majorBidi" w:cstheme="majorBidi"/>
          <w:sz w:val="20"/>
          <w:szCs w:val="20"/>
        </w:rPr>
        <w:t xml:space="preserve"> </w:t>
      </w:r>
      <w:hyperlink r:id="rId11" w:history="1">
        <w:r w:rsidRPr="00E953A6">
          <w:rPr>
            <w:rStyle w:val="Hyperlink"/>
            <w:rFonts w:asciiTheme="majorBidi" w:hAnsiTheme="majorBidi" w:cstheme="majorBidi"/>
            <w:sz w:val="20"/>
            <w:szCs w:val="20"/>
          </w:rPr>
          <w:t>https://doi.org/10.1016/j.jacceco.2013.08.005</w:t>
        </w:r>
      </w:hyperlink>
      <w:r>
        <w:rPr>
          <w:rFonts w:asciiTheme="majorBidi" w:hAnsiTheme="majorBidi" w:cstheme="majorBidi"/>
          <w:sz w:val="20"/>
          <w:szCs w:val="20"/>
        </w:rPr>
        <w:t xml:space="preserve">. </w:t>
      </w:r>
    </w:p>
    <w:p w14:paraId="0432A1F5" w14:textId="77777777" w:rsidR="006E4B3F" w:rsidRDefault="006E4B3F" w:rsidP="006E4B3F">
      <w:pPr>
        <w:jc w:val="both"/>
        <w:rPr>
          <w:rFonts w:asciiTheme="majorBidi" w:hAnsiTheme="majorBidi" w:cstheme="majorBidi"/>
          <w:sz w:val="20"/>
          <w:szCs w:val="20"/>
        </w:rPr>
      </w:pPr>
      <w:bookmarkStart w:id="6" w:name="w11"/>
      <w:bookmarkEnd w:id="5"/>
      <w:proofErr w:type="spellStart"/>
      <w:proofErr w:type="gramStart"/>
      <w:r w:rsidRPr="00BC4BD7">
        <w:rPr>
          <w:rFonts w:asciiTheme="majorBidi" w:hAnsiTheme="majorBidi" w:cstheme="majorBidi"/>
          <w:sz w:val="20"/>
          <w:szCs w:val="20"/>
        </w:rPr>
        <w:t>Badertscher,B</w:t>
      </w:r>
      <w:proofErr w:type="spellEnd"/>
      <w:proofErr w:type="gramEnd"/>
      <w:r w:rsidRPr="00BC4BD7">
        <w:rPr>
          <w:rFonts w:asciiTheme="majorBidi" w:hAnsiTheme="majorBidi" w:cstheme="majorBidi"/>
          <w:sz w:val="20"/>
          <w:szCs w:val="20"/>
        </w:rPr>
        <w:t xml:space="preserve">, Katz, </w:t>
      </w:r>
      <w:proofErr w:type="spellStart"/>
      <w:r w:rsidRPr="00BC4BD7">
        <w:rPr>
          <w:rFonts w:asciiTheme="majorBidi" w:hAnsiTheme="majorBidi" w:cstheme="majorBidi"/>
          <w:sz w:val="20"/>
          <w:szCs w:val="20"/>
        </w:rPr>
        <w:t>Sh</w:t>
      </w:r>
      <w:proofErr w:type="spellEnd"/>
      <w:r w:rsidRPr="00BC4BD7">
        <w:rPr>
          <w:rFonts w:asciiTheme="majorBidi" w:hAnsiTheme="majorBidi" w:cstheme="majorBidi"/>
          <w:sz w:val="20"/>
          <w:szCs w:val="20"/>
        </w:rPr>
        <w:t xml:space="preserve">,  </w:t>
      </w:r>
      <w:proofErr w:type="spellStart"/>
      <w:r w:rsidRPr="00BC4BD7">
        <w:rPr>
          <w:rFonts w:asciiTheme="majorBidi" w:hAnsiTheme="majorBidi" w:cstheme="majorBidi"/>
          <w:sz w:val="20"/>
          <w:szCs w:val="20"/>
        </w:rPr>
        <w:t>Rego</w:t>
      </w:r>
      <w:proofErr w:type="spellEnd"/>
      <w:r w:rsidRPr="00BC4BD7">
        <w:rPr>
          <w:rFonts w:asciiTheme="majorBidi" w:hAnsiTheme="majorBidi" w:cstheme="majorBidi"/>
          <w:sz w:val="20"/>
          <w:szCs w:val="20"/>
        </w:rPr>
        <w:t xml:space="preserve">, S. O  and R J. Wilson (2019). Conforming Tax Avoidance and Capital Market Pressure. </w:t>
      </w:r>
      <w:r w:rsidRPr="00CD081E">
        <w:rPr>
          <w:rFonts w:asciiTheme="majorBidi" w:hAnsiTheme="majorBidi" w:cstheme="majorBidi"/>
          <w:sz w:val="20"/>
          <w:szCs w:val="20"/>
        </w:rPr>
        <w:t xml:space="preserve">The Accounting Review, Vol. 94, No. 6, pp. 1-30. </w:t>
      </w:r>
      <w:hyperlink r:id="rId12" w:history="1">
        <w:r w:rsidRPr="00E953A6">
          <w:rPr>
            <w:rStyle w:val="Hyperlink"/>
            <w:rFonts w:asciiTheme="majorBidi" w:hAnsiTheme="majorBidi" w:cstheme="majorBidi"/>
            <w:sz w:val="20"/>
            <w:szCs w:val="20"/>
          </w:rPr>
          <w:t>https://doi.org/10.2308/accr-52359</w:t>
        </w:r>
      </w:hyperlink>
      <w:r>
        <w:rPr>
          <w:rFonts w:asciiTheme="majorBidi" w:hAnsiTheme="majorBidi" w:cstheme="majorBidi"/>
          <w:sz w:val="20"/>
          <w:szCs w:val="20"/>
        </w:rPr>
        <w:t xml:space="preserve">. </w:t>
      </w:r>
    </w:p>
    <w:p w14:paraId="257BEBC1" w14:textId="77777777" w:rsidR="006E4B3F" w:rsidRPr="00BC4BD7" w:rsidRDefault="006E4B3F" w:rsidP="006E4B3F">
      <w:pPr>
        <w:jc w:val="both"/>
        <w:rPr>
          <w:rFonts w:asciiTheme="majorBidi" w:hAnsiTheme="majorBidi" w:cstheme="majorBidi"/>
          <w:sz w:val="20"/>
          <w:szCs w:val="20"/>
          <w:rtl/>
        </w:rPr>
      </w:pPr>
      <w:bookmarkStart w:id="7" w:name="w20"/>
      <w:bookmarkEnd w:id="6"/>
      <w:r w:rsidRPr="00BC4BD7">
        <w:rPr>
          <w:rFonts w:asciiTheme="majorBidi" w:hAnsiTheme="majorBidi" w:cstheme="majorBidi"/>
          <w:sz w:val="20"/>
          <w:szCs w:val="20"/>
        </w:rPr>
        <w:t>Baker, S R., Bloom, N and S J. Davis (2016). Measuring economic policy uncertainty</w:t>
      </w:r>
      <w:r w:rsidRPr="00BC4BD7">
        <w:rPr>
          <w:rFonts w:asciiTheme="majorBidi" w:hAnsiTheme="majorBidi" w:cstheme="majorBidi"/>
          <w:sz w:val="20"/>
          <w:szCs w:val="20"/>
          <w:rtl/>
        </w:rPr>
        <w:t>‏</w:t>
      </w:r>
      <w:r w:rsidRPr="00BC4BD7">
        <w:rPr>
          <w:rFonts w:asciiTheme="majorBidi" w:hAnsiTheme="majorBidi" w:cstheme="majorBidi"/>
          <w:sz w:val="20"/>
          <w:szCs w:val="20"/>
        </w:rPr>
        <w:t xml:space="preserve">. NBER WORKING PAPER SERIES, </w:t>
      </w:r>
      <w:hyperlink r:id="rId13" w:history="1">
        <w:r w:rsidRPr="00BC4BD7">
          <w:rPr>
            <w:rStyle w:val="Hyperlink"/>
            <w:rFonts w:asciiTheme="majorBidi" w:hAnsiTheme="majorBidi" w:cstheme="majorBidi"/>
            <w:sz w:val="20"/>
            <w:szCs w:val="20"/>
          </w:rPr>
          <w:t>http://www.nber.org/papers/w21633</w:t>
        </w:r>
      </w:hyperlink>
      <w:bookmarkEnd w:id="7"/>
      <w:r w:rsidRPr="00BC4BD7">
        <w:rPr>
          <w:rFonts w:asciiTheme="majorBidi" w:hAnsiTheme="majorBidi" w:cstheme="majorBidi"/>
          <w:sz w:val="20"/>
          <w:szCs w:val="20"/>
        </w:rPr>
        <w:t>.</w:t>
      </w:r>
    </w:p>
    <w:p w14:paraId="1E1003FC" w14:textId="77777777" w:rsidR="006E4B3F" w:rsidRDefault="006E4B3F" w:rsidP="006E4B3F">
      <w:pPr>
        <w:jc w:val="both"/>
        <w:rPr>
          <w:rFonts w:asciiTheme="majorBidi" w:hAnsiTheme="majorBidi" w:cstheme="majorBidi"/>
          <w:sz w:val="20"/>
          <w:szCs w:val="20"/>
        </w:rPr>
      </w:pPr>
      <w:bookmarkStart w:id="8" w:name="w25"/>
      <w:proofErr w:type="spellStart"/>
      <w:r w:rsidRPr="00BC4BD7">
        <w:rPr>
          <w:rFonts w:asciiTheme="majorBidi" w:hAnsiTheme="majorBidi" w:cstheme="majorBidi"/>
          <w:sz w:val="20"/>
          <w:szCs w:val="20"/>
        </w:rPr>
        <w:t>Balakrishnan</w:t>
      </w:r>
      <w:proofErr w:type="spellEnd"/>
      <w:r w:rsidRPr="00BC4BD7">
        <w:rPr>
          <w:rFonts w:asciiTheme="majorBidi" w:hAnsiTheme="majorBidi" w:cstheme="majorBidi"/>
          <w:sz w:val="20"/>
          <w:szCs w:val="20"/>
        </w:rPr>
        <w:t xml:space="preserve">, K, </w:t>
      </w:r>
      <w:proofErr w:type="spellStart"/>
      <w:r w:rsidRPr="00BC4BD7">
        <w:rPr>
          <w:rFonts w:asciiTheme="majorBidi" w:hAnsiTheme="majorBidi" w:cstheme="majorBidi"/>
          <w:sz w:val="20"/>
          <w:szCs w:val="20"/>
        </w:rPr>
        <w:t>Blouin</w:t>
      </w:r>
      <w:proofErr w:type="spellEnd"/>
      <w:r w:rsidRPr="00BC4BD7">
        <w:rPr>
          <w:rFonts w:asciiTheme="majorBidi" w:hAnsiTheme="majorBidi" w:cstheme="majorBidi"/>
          <w:sz w:val="20"/>
          <w:szCs w:val="20"/>
        </w:rPr>
        <w:t xml:space="preserve">, J L. and W R. </w:t>
      </w:r>
      <w:proofErr w:type="spellStart"/>
      <w:r w:rsidRPr="00BC4BD7">
        <w:rPr>
          <w:rFonts w:asciiTheme="majorBidi" w:hAnsiTheme="majorBidi" w:cstheme="majorBidi"/>
          <w:sz w:val="20"/>
          <w:szCs w:val="20"/>
        </w:rPr>
        <w:t>Guay</w:t>
      </w:r>
      <w:proofErr w:type="spellEnd"/>
      <w:r w:rsidRPr="00BC4BD7">
        <w:rPr>
          <w:rFonts w:asciiTheme="majorBidi" w:hAnsiTheme="majorBidi" w:cstheme="majorBidi"/>
          <w:sz w:val="20"/>
          <w:szCs w:val="20"/>
        </w:rPr>
        <w:t xml:space="preserve"> (2019). Tax Aggressiveness and Corporate Transparency. The Accounting Review, Vol. 94, No. 1, pp. 45-69.</w:t>
      </w:r>
      <w:r>
        <w:rPr>
          <w:rFonts w:asciiTheme="majorBidi" w:hAnsiTheme="majorBidi" w:cstheme="majorBidi"/>
          <w:sz w:val="20"/>
          <w:szCs w:val="20"/>
        </w:rPr>
        <w:t xml:space="preserve"> </w:t>
      </w:r>
      <w:hyperlink r:id="rId14" w:history="1">
        <w:r w:rsidRPr="00E953A6">
          <w:rPr>
            <w:rStyle w:val="Hyperlink"/>
            <w:rFonts w:asciiTheme="majorBidi" w:hAnsiTheme="majorBidi" w:cstheme="majorBidi"/>
            <w:sz w:val="20"/>
            <w:szCs w:val="20"/>
          </w:rPr>
          <w:t>https://doi.org/10.2308/accr-52130</w:t>
        </w:r>
      </w:hyperlink>
      <w:r>
        <w:rPr>
          <w:rFonts w:asciiTheme="majorBidi" w:hAnsiTheme="majorBidi" w:cstheme="majorBidi"/>
          <w:sz w:val="20"/>
          <w:szCs w:val="20"/>
        </w:rPr>
        <w:t xml:space="preserve">. </w:t>
      </w:r>
    </w:p>
    <w:p w14:paraId="6775AF37" w14:textId="77777777" w:rsidR="006E4B3F" w:rsidRDefault="006E4B3F" w:rsidP="006E4B3F">
      <w:pPr>
        <w:jc w:val="both"/>
        <w:rPr>
          <w:rFonts w:asciiTheme="majorBidi" w:hAnsiTheme="majorBidi" w:cstheme="majorBidi"/>
          <w:sz w:val="20"/>
          <w:szCs w:val="20"/>
        </w:rPr>
      </w:pPr>
      <w:bookmarkStart w:id="9" w:name="w61"/>
      <w:bookmarkEnd w:id="8"/>
      <w:r w:rsidRPr="000228F5">
        <w:rPr>
          <w:rFonts w:asciiTheme="majorBidi" w:hAnsiTheme="majorBidi" w:cstheme="majorBidi"/>
          <w:sz w:val="20"/>
          <w:szCs w:val="20"/>
        </w:rPr>
        <w:t>Barnes, P. (2007). Minsky’s financial instability hypothesis, information asymmetry and accounting information: the UK financial crises of 1866 and 1987. Volume: 12 issue: 1, 29-53.</w:t>
      </w:r>
      <w:r>
        <w:rPr>
          <w:rFonts w:asciiTheme="majorBidi" w:hAnsiTheme="majorBidi" w:cstheme="majorBidi"/>
          <w:sz w:val="20"/>
          <w:szCs w:val="20"/>
        </w:rPr>
        <w:t xml:space="preserve"> </w:t>
      </w:r>
      <w:hyperlink r:id="rId15" w:history="1">
        <w:r w:rsidRPr="00E953A6">
          <w:rPr>
            <w:rStyle w:val="Hyperlink"/>
            <w:rFonts w:asciiTheme="majorBidi" w:hAnsiTheme="majorBidi" w:cstheme="majorBidi"/>
            <w:sz w:val="20"/>
            <w:szCs w:val="20"/>
          </w:rPr>
          <w:t>https://doi.org/10.1177/1032373207072807</w:t>
        </w:r>
      </w:hyperlink>
      <w:r>
        <w:rPr>
          <w:rFonts w:asciiTheme="majorBidi" w:hAnsiTheme="majorBidi" w:cstheme="majorBidi"/>
          <w:sz w:val="20"/>
          <w:szCs w:val="20"/>
        </w:rPr>
        <w:t xml:space="preserve">. </w:t>
      </w:r>
    </w:p>
    <w:p w14:paraId="28CFB490" w14:textId="77777777" w:rsidR="006E4B3F" w:rsidRPr="00BC4BD7" w:rsidRDefault="006E4B3F" w:rsidP="006E4B3F">
      <w:pPr>
        <w:jc w:val="both"/>
        <w:rPr>
          <w:rFonts w:asciiTheme="majorBidi" w:hAnsiTheme="majorBidi" w:cstheme="majorBidi"/>
          <w:sz w:val="20"/>
          <w:szCs w:val="20"/>
          <w:rtl/>
        </w:rPr>
      </w:pPr>
      <w:bookmarkStart w:id="10" w:name="w62"/>
      <w:bookmarkEnd w:id="9"/>
      <w:r w:rsidRPr="00AE2744">
        <w:rPr>
          <w:rFonts w:asciiTheme="majorBidi" w:hAnsiTheme="majorBidi" w:cstheme="majorBidi"/>
          <w:sz w:val="20"/>
          <w:szCs w:val="20"/>
        </w:rPr>
        <w:t xml:space="preserve">Blackburn, K, Bose, N. and </w:t>
      </w:r>
      <w:proofErr w:type="spellStart"/>
      <w:r w:rsidRPr="00AE2744">
        <w:rPr>
          <w:rFonts w:asciiTheme="majorBidi" w:hAnsiTheme="majorBidi" w:cstheme="majorBidi"/>
          <w:sz w:val="20"/>
          <w:szCs w:val="20"/>
        </w:rPr>
        <w:t>Capasso</w:t>
      </w:r>
      <w:proofErr w:type="spellEnd"/>
      <w:r w:rsidRPr="00AE2744">
        <w:rPr>
          <w:rFonts w:asciiTheme="majorBidi" w:hAnsiTheme="majorBidi" w:cstheme="majorBidi"/>
          <w:sz w:val="20"/>
          <w:szCs w:val="20"/>
        </w:rPr>
        <w:t>, S. (2012). Tax evasion, the underground economy and financial development. Journal of Economic Behavior &amp; Organization, Vo</w:t>
      </w:r>
      <w:r>
        <w:rPr>
          <w:rFonts w:asciiTheme="majorBidi" w:hAnsiTheme="majorBidi" w:cstheme="majorBidi"/>
          <w:sz w:val="20"/>
          <w:szCs w:val="20"/>
        </w:rPr>
        <w:t>l 83, Issue 2, Pages 243-253.</w:t>
      </w:r>
      <w:r w:rsidRPr="000B3763">
        <w:t xml:space="preserve"> </w:t>
      </w:r>
      <w:hyperlink r:id="rId16" w:history="1">
        <w:r w:rsidRPr="00E953A6">
          <w:rPr>
            <w:rStyle w:val="Hyperlink"/>
            <w:rFonts w:asciiTheme="majorBidi" w:hAnsiTheme="majorBidi" w:cstheme="majorBidi"/>
            <w:sz w:val="20"/>
            <w:szCs w:val="20"/>
          </w:rPr>
          <w:t>https://doi.org/10.1016/j.jebo.2012.05.019</w:t>
        </w:r>
      </w:hyperlink>
      <w:r>
        <w:rPr>
          <w:rFonts w:asciiTheme="majorBidi" w:hAnsiTheme="majorBidi" w:cstheme="majorBidi"/>
          <w:sz w:val="20"/>
          <w:szCs w:val="20"/>
        </w:rPr>
        <w:t xml:space="preserve">. </w:t>
      </w:r>
    </w:p>
    <w:bookmarkEnd w:id="10"/>
    <w:p w14:paraId="434EBB26" w14:textId="77777777" w:rsidR="006E4B3F" w:rsidRPr="00BC4BD7" w:rsidRDefault="006E4B3F" w:rsidP="006E4B3F">
      <w:pPr>
        <w:jc w:val="both"/>
        <w:rPr>
          <w:rFonts w:asciiTheme="majorBidi" w:hAnsiTheme="majorBidi" w:cstheme="majorBidi"/>
          <w:sz w:val="20"/>
          <w:szCs w:val="20"/>
          <w:rtl/>
        </w:rPr>
      </w:pPr>
      <w:r w:rsidRPr="00BC4BD7">
        <w:rPr>
          <w:rFonts w:asciiTheme="majorBidi" w:hAnsiTheme="majorBidi" w:cstheme="majorBidi"/>
          <w:sz w:val="20"/>
          <w:szCs w:val="20"/>
        </w:rPr>
        <w:t xml:space="preserve">Bloom, N., (2009). The impact of uncertainty shocks. </w:t>
      </w:r>
      <w:proofErr w:type="spellStart"/>
      <w:r w:rsidRPr="00BC4BD7">
        <w:rPr>
          <w:rFonts w:asciiTheme="majorBidi" w:hAnsiTheme="majorBidi" w:cstheme="majorBidi"/>
          <w:sz w:val="20"/>
          <w:szCs w:val="20"/>
        </w:rPr>
        <w:t>Econometrica</w:t>
      </w:r>
      <w:proofErr w:type="spellEnd"/>
      <w:r w:rsidRPr="00BC4BD7">
        <w:rPr>
          <w:rFonts w:asciiTheme="majorBidi" w:hAnsiTheme="majorBidi" w:cstheme="majorBidi"/>
          <w:sz w:val="20"/>
          <w:szCs w:val="20"/>
        </w:rPr>
        <w:t xml:space="preserve"> 77, 623–685</w:t>
      </w:r>
      <w:r w:rsidRPr="00BC4BD7">
        <w:rPr>
          <w:rFonts w:asciiTheme="majorBidi" w:hAnsiTheme="majorBidi" w:cstheme="majorBidi"/>
          <w:sz w:val="20"/>
          <w:szCs w:val="20"/>
          <w:rtl/>
        </w:rPr>
        <w:t>.</w:t>
      </w:r>
      <w:r>
        <w:rPr>
          <w:rFonts w:asciiTheme="majorBidi" w:hAnsiTheme="majorBidi" w:cstheme="majorBidi"/>
          <w:sz w:val="20"/>
          <w:szCs w:val="20"/>
        </w:rPr>
        <w:t xml:space="preserve"> </w:t>
      </w:r>
      <w:hyperlink r:id="rId17" w:history="1">
        <w:r w:rsidRPr="00E953A6">
          <w:rPr>
            <w:rStyle w:val="Hyperlink"/>
            <w:rFonts w:asciiTheme="majorBidi" w:hAnsiTheme="majorBidi" w:cstheme="majorBidi"/>
            <w:sz w:val="20"/>
            <w:szCs w:val="20"/>
          </w:rPr>
          <w:t>https://doi.org/10.3982/ECTA6248</w:t>
        </w:r>
      </w:hyperlink>
      <w:r>
        <w:rPr>
          <w:rFonts w:asciiTheme="majorBidi" w:hAnsiTheme="majorBidi" w:cstheme="majorBidi"/>
          <w:sz w:val="20"/>
          <w:szCs w:val="20"/>
        </w:rPr>
        <w:t xml:space="preserve">. </w:t>
      </w:r>
    </w:p>
    <w:p w14:paraId="3E6E7B8B" w14:textId="77777777" w:rsidR="006E4B3F" w:rsidRPr="00BC4BD7" w:rsidRDefault="006E4B3F" w:rsidP="006E4B3F">
      <w:pPr>
        <w:jc w:val="both"/>
        <w:rPr>
          <w:rFonts w:asciiTheme="majorBidi" w:hAnsiTheme="majorBidi" w:cstheme="majorBidi"/>
          <w:sz w:val="20"/>
          <w:szCs w:val="20"/>
          <w:rtl/>
        </w:rPr>
      </w:pPr>
      <w:bookmarkStart w:id="11" w:name="w10"/>
      <w:r w:rsidRPr="007A1F11">
        <w:rPr>
          <w:rFonts w:asciiTheme="majorBidi" w:hAnsiTheme="majorBidi" w:cstheme="majorBidi"/>
          <w:sz w:val="20"/>
          <w:szCs w:val="20"/>
        </w:rPr>
        <w:t xml:space="preserve">Bond, S. R. and Devereux, M. P. (2003). </w:t>
      </w:r>
      <w:proofErr w:type="spellStart"/>
      <w:r w:rsidRPr="007A1F11">
        <w:rPr>
          <w:rFonts w:asciiTheme="majorBidi" w:hAnsiTheme="majorBidi" w:cstheme="majorBidi"/>
          <w:sz w:val="20"/>
          <w:szCs w:val="20"/>
        </w:rPr>
        <w:t>Generalised</w:t>
      </w:r>
      <w:proofErr w:type="spellEnd"/>
      <w:r w:rsidRPr="007A1F11">
        <w:rPr>
          <w:rFonts w:asciiTheme="majorBidi" w:hAnsiTheme="majorBidi" w:cstheme="majorBidi"/>
          <w:sz w:val="20"/>
          <w:szCs w:val="20"/>
        </w:rPr>
        <w:t xml:space="preserve"> R-based and S-based taxes under uncertainty. Journal of Public Economics, Volume 87, Issues 5–6, Pages 1291-1311.</w:t>
      </w:r>
      <w:r>
        <w:rPr>
          <w:rFonts w:asciiTheme="majorBidi" w:hAnsiTheme="majorBidi" w:cstheme="majorBidi"/>
          <w:sz w:val="20"/>
          <w:szCs w:val="20"/>
        </w:rPr>
        <w:t xml:space="preserve"> </w:t>
      </w:r>
      <w:hyperlink r:id="rId18" w:history="1">
        <w:r w:rsidRPr="00E953A6">
          <w:rPr>
            <w:rStyle w:val="Hyperlink"/>
            <w:rFonts w:asciiTheme="majorBidi" w:hAnsiTheme="majorBidi" w:cstheme="majorBidi"/>
            <w:sz w:val="20"/>
            <w:szCs w:val="20"/>
          </w:rPr>
          <w:t>https://doi.org/10.1016/S0047-2727(01)00161-X</w:t>
        </w:r>
      </w:hyperlink>
      <w:r>
        <w:rPr>
          <w:rFonts w:asciiTheme="majorBidi" w:hAnsiTheme="majorBidi" w:cstheme="majorBidi"/>
          <w:sz w:val="20"/>
          <w:szCs w:val="20"/>
        </w:rPr>
        <w:t xml:space="preserve">. </w:t>
      </w:r>
    </w:p>
    <w:p w14:paraId="2F865C10" w14:textId="77777777" w:rsidR="006E4B3F" w:rsidRDefault="006E4B3F" w:rsidP="006E4B3F">
      <w:pPr>
        <w:jc w:val="both"/>
        <w:rPr>
          <w:rFonts w:asciiTheme="majorBidi" w:hAnsiTheme="majorBidi" w:cstheme="majorBidi"/>
          <w:sz w:val="20"/>
          <w:szCs w:val="20"/>
        </w:rPr>
      </w:pPr>
      <w:bookmarkStart w:id="12" w:name="w19"/>
      <w:bookmarkEnd w:id="11"/>
      <w:proofErr w:type="spellStart"/>
      <w:r w:rsidRPr="00BC4BD7">
        <w:rPr>
          <w:rFonts w:asciiTheme="majorBidi" w:hAnsiTheme="majorBidi" w:cstheme="majorBidi"/>
          <w:sz w:val="20"/>
          <w:szCs w:val="20"/>
        </w:rPr>
        <w:t>Borio</w:t>
      </w:r>
      <w:proofErr w:type="spellEnd"/>
      <w:r w:rsidRPr="00BC4BD7">
        <w:rPr>
          <w:rFonts w:asciiTheme="majorBidi" w:hAnsiTheme="majorBidi" w:cstheme="majorBidi"/>
          <w:sz w:val="20"/>
          <w:szCs w:val="20"/>
        </w:rPr>
        <w:t xml:space="preserve"> C and H, Zhu (2012). Capital regulation, risk-taking, and monetary policy: a missing link in the transmission mechanism? J </w:t>
      </w:r>
      <w:proofErr w:type="spellStart"/>
      <w:r w:rsidRPr="00BC4BD7">
        <w:rPr>
          <w:rFonts w:asciiTheme="majorBidi" w:hAnsiTheme="majorBidi" w:cstheme="majorBidi"/>
          <w:sz w:val="20"/>
          <w:szCs w:val="20"/>
        </w:rPr>
        <w:t>Financ</w:t>
      </w:r>
      <w:proofErr w:type="spellEnd"/>
      <w:r w:rsidRPr="00BC4BD7">
        <w:rPr>
          <w:rFonts w:asciiTheme="majorBidi" w:hAnsiTheme="majorBidi" w:cstheme="majorBidi"/>
          <w:sz w:val="20"/>
          <w:szCs w:val="20"/>
        </w:rPr>
        <w:t xml:space="preserve"> Stab 8(4):236–251</w:t>
      </w:r>
      <w:r w:rsidRPr="00BC4BD7">
        <w:rPr>
          <w:rFonts w:asciiTheme="majorBidi" w:hAnsiTheme="majorBidi" w:cstheme="majorBidi"/>
          <w:sz w:val="20"/>
          <w:szCs w:val="20"/>
          <w:rtl/>
        </w:rPr>
        <w:t>.</w:t>
      </w:r>
      <w:r>
        <w:rPr>
          <w:rFonts w:asciiTheme="majorBidi" w:hAnsiTheme="majorBidi" w:cstheme="majorBidi"/>
          <w:sz w:val="20"/>
          <w:szCs w:val="20"/>
        </w:rPr>
        <w:t xml:space="preserve"> </w:t>
      </w:r>
      <w:hyperlink r:id="rId19" w:history="1">
        <w:r w:rsidRPr="00E953A6">
          <w:rPr>
            <w:rStyle w:val="Hyperlink"/>
            <w:rFonts w:asciiTheme="majorBidi" w:hAnsiTheme="majorBidi" w:cstheme="majorBidi"/>
            <w:sz w:val="20"/>
            <w:szCs w:val="20"/>
          </w:rPr>
          <w:t>https://doi.org/10.1016/j.jfs.2011.12.003</w:t>
        </w:r>
      </w:hyperlink>
      <w:r>
        <w:rPr>
          <w:rFonts w:asciiTheme="majorBidi" w:hAnsiTheme="majorBidi" w:cstheme="majorBidi"/>
          <w:sz w:val="20"/>
          <w:szCs w:val="20"/>
        </w:rPr>
        <w:t xml:space="preserve">. </w:t>
      </w:r>
    </w:p>
    <w:p w14:paraId="5086A01D" w14:textId="77777777" w:rsidR="006E4B3F" w:rsidRDefault="006E4B3F" w:rsidP="006E4B3F">
      <w:pPr>
        <w:jc w:val="both"/>
        <w:rPr>
          <w:rFonts w:asciiTheme="majorBidi" w:hAnsiTheme="majorBidi" w:cstheme="majorBidi"/>
          <w:sz w:val="20"/>
          <w:szCs w:val="20"/>
        </w:rPr>
      </w:pPr>
      <w:bookmarkStart w:id="13" w:name="w30"/>
      <w:bookmarkEnd w:id="12"/>
      <w:proofErr w:type="spellStart"/>
      <w:r w:rsidRPr="004162D2">
        <w:rPr>
          <w:rFonts w:asciiTheme="majorBidi" w:hAnsiTheme="majorBidi" w:cstheme="majorBidi"/>
          <w:sz w:val="20"/>
          <w:szCs w:val="20"/>
        </w:rPr>
        <w:t>Borisova</w:t>
      </w:r>
      <w:proofErr w:type="spellEnd"/>
      <w:r w:rsidRPr="004162D2">
        <w:rPr>
          <w:rFonts w:asciiTheme="majorBidi" w:hAnsiTheme="majorBidi" w:cstheme="majorBidi"/>
          <w:sz w:val="20"/>
          <w:szCs w:val="20"/>
        </w:rPr>
        <w:t xml:space="preserve">, G., Brockman, P., Salas, J. M., and </w:t>
      </w:r>
      <w:proofErr w:type="spellStart"/>
      <w:r w:rsidRPr="004162D2">
        <w:rPr>
          <w:rFonts w:asciiTheme="majorBidi" w:hAnsiTheme="majorBidi" w:cstheme="majorBidi"/>
          <w:sz w:val="20"/>
          <w:szCs w:val="20"/>
        </w:rPr>
        <w:t>Zagorchev</w:t>
      </w:r>
      <w:proofErr w:type="spellEnd"/>
      <w:r w:rsidRPr="004162D2">
        <w:rPr>
          <w:rFonts w:asciiTheme="majorBidi" w:hAnsiTheme="majorBidi" w:cstheme="majorBidi"/>
          <w:sz w:val="20"/>
          <w:szCs w:val="20"/>
        </w:rPr>
        <w:t>, A. (2012). Government ownership and corporate governance: Evidence from the EU. Journal of Banking &amp; Finance, Volume 36, Issue 11, Pages 2917-2934.</w:t>
      </w:r>
      <w:r>
        <w:rPr>
          <w:rFonts w:asciiTheme="majorBidi" w:hAnsiTheme="majorBidi" w:cstheme="majorBidi"/>
          <w:sz w:val="20"/>
          <w:szCs w:val="20"/>
        </w:rPr>
        <w:t xml:space="preserve"> </w:t>
      </w:r>
      <w:hyperlink r:id="rId20" w:history="1">
        <w:r w:rsidRPr="00E953A6">
          <w:rPr>
            <w:rStyle w:val="Hyperlink"/>
            <w:rFonts w:asciiTheme="majorBidi" w:hAnsiTheme="majorBidi" w:cstheme="majorBidi"/>
            <w:sz w:val="20"/>
            <w:szCs w:val="20"/>
          </w:rPr>
          <w:t>https://doi.org/10.1016/j.jbankfin.2012.01.008</w:t>
        </w:r>
      </w:hyperlink>
      <w:r>
        <w:rPr>
          <w:rFonts w:asciiTheme="majorBidi" w:hAnsiTheme="majorBidi" w:cstheme="majorBidi"/>
          <w:sz w:val="20"/>
          <w:szCs w:val="20"/>
        </w:rPr>
        <w:t xml:space="preserve">. </w:t>
      </w:r>
    </w:p>
    <w:p w14:paraId="57B94B41" w14:textId="77777777" w:rsidR="006E4B3F" w:rsidRDefault="006E4B3F" w:rsidP="006E4B3F">
      <w:pPr>
        <w:jc w:val="both"/>
        <w:rPr>
          <w:rFonts w:asciiTheme="majorBidi" w:hAnsiTheme="majorBidi" w:cstheme="majorBidi"/>
          <w:sz w:val="20"/>
          <w:szCs w:val="20"/>
        </w:rPr>
      </w:pPr>
      <w:bookmarkStart w:id="14" w:name="w71"/>
      <w:bookmarkEnd w:id="13"/>
      <w:r w:rsidRPr="00CB3A23">
        <w:rPr>
          <w:rFonts w:asciiTheme="majorBidi" w:hAnsiTheme="majorBidi" w:cstheme="majorBidi"/>
          <w:sz w:val="20"/>
          <w:szCs w:val="20"/>
        </w:rPr>
        <w:t>Bradshaw, M., Liao, G., and Ma, M. (2016). Agency costs and tax planning when the government is a major Shareholder. Journal of Accounting and Economics, Volume 67, Issues 2–3, Pages 255-277.</w:t>
      </w:r>
      <w:r>
        <w:rPr>
          <w:rFonts w:asciiTheme="majorBidi" w:hAnsiTheme="majorBidi" w:cstheme="majorBidi"/>
          <w:sz w:val="20"/>
          <w:szCs w:val="20"/>
        </w:rPr>
        <w:t xml:space="preserve"> </w:t>
      </w:r>
      <w:hyperlink r:id="rId21" w:history="1">
        <w:r w:rsidRPr="00E953A6">
          <w:rPr>
            <w:rStyle w:val="Hyperlink"/>
            <w:rFonts w:asciiTheme="majorBidi" w:hAnsiTheme="majorBidi" w:cstheme="majorBidi"/>
            <w:sz w:val="20"/>
            <w:szCs w:val="20"/>
          </w:rPr>
          <w:t>https://doi.org/10.1016/j.jacceco.2018.10.002</w:t>
        </w:r>
      </w:hyperlink>
      <w:r>
        <w:rPr>
          <w:rFonts w:asciiTheme="majorBidi" w:hAnsiTheme="majorBidi" w:cstheme="majorBidi"/>
          <w:sz w:val="20"/>
          <w:szCs w:val="20"/>
        </w:rPr>
        <w:t xml:space="preserve">. </w:t>
      </w:r>
    </w:p>
    <w:bookmarkEnd w:id="14"/>
    <w:p w14:paraId="7A88EAD4" w14:textId="77777777" w:rsidR="006E4B3F" w:rsidRDefault="006E4B3F" w:rsidP="006E4B3F">
      <w:pPr>
        <w:jc w:val="both"/>
        <w:rPr>
          <w:rFonts w:asciiTheme="majorBidi" w:hAnsiTheme="majorBidi" w:cstheme="majorBidi"/>
          <w:sz w:val="20"/>
          <w:szCs w:val="20"/>
        </w:rPr>
      </w:pPr>
      <w:proofErr w:type="spellStart"/>
      <w:r w:rsidRPr="00D17849">
        <w:rPr>
          <w:rFonts w:asciiTheme="majorBidi" w:hAnsiTheme="majorBidi" w:cstheme="majorBidi"/>
          <w:sz w:val="20"/>
          <w:szCs w:val="20"/>
        </w:rPr>
        <w:t>Brouthers</w:t>
      </w:r>
      <w:proofErr w:type="spellEnd"/>
      <w:r w:rsidRPr="00D17849">
        <w:rPr>
          <w:rFonts w:asciiTheme="majorBidi" w:hAnsiTheme="majorBidi" w:cstheme="majorBidi"/>
          <w:sz w:val="20"/>
          <w:szCs w:val="20"/>
        </w:rPr>
        <w:t xml:space="preserve">, K.D., </w:t>
      </w:r>
      <w:proofErr w:type="spellStart"/>
      <w:r w:rsidRPr="00D17849">
        <w:rPr>
          <w:rFonts w:asciiTheme="majorBidi" w:hAnsiTheme="majorBidi" w:cstheme="majorBidi"/>
          <w:sz w:val="20"/>
          <w:szCs w:val="20"/>
        </w:rPr>
        <w:t>Gelderman</w:t>
      </w:r>
      <w:proofErr w:type="spellEnd"/>
      <w:r w:rsidRPr="00D17849">
        <w:rPr>
          <w:rFonts w:asciiTheme="majorBidi" w:hAnsiTheme="majorBidi" w:cstheme="majorBidi"/>
          <w:sz w:val="20"/>
          <w:szCs w:val="20"/>
        </w:rPr>
        <w:t xml:space="preserve"> M., and </w:t>
      </w:r>
      <w:proofErr w:type="spellStart"/>
      <w:r w:rsidRPr="00D17849">
        <w:rPr>
          <w:rFonts w:asciiTheme="majorBidi" w:hAnsiTheme="majorBidi" w:cstheme="majorBidi"/>
          <w:sz w:val="20"/>
          <w:szCs w:val="20"/>
        </w:rPr>
        <w:t>Arens</w:t>
      </w:r>
      <w:proofErr w:type="spellEnd"/>
      <w:r w:rsidRPr="00D17849">
        <w:rPr>
          <w:rFonts w:asciiTheme="majorBidi" w:hAnsiTheme="majorBidi" w:cstheme="majorBidi"/>
          <w:sz w:val="20"/>
          <w:szCs w:val="20"/>
        </w:rPr>
        <w:t xml:space="preserve"> P. </w:t>
      </w:r>
      <w:r>
        <w:rPr>
          <w:rFonts w:asciiTheme="majorBidi" w:hAnsiTheme="majorBidi" w:cstheme="majorBidi"/>
          <w:sz w:val="20"/>
          <w:szCs w:val="20"/>
        </w:rPr>
        <w:t>(</w:t>
      </w:r>
      <w:r w:rsidRPr="00D17849">
        <w:rPr>
          <w:rFonts w:asciiTheme="majorBidi" w:hAnsiTheme="majorBidi" w:cstheme="majorBidi"/>
          <w:sz w:val="20"/>
          <w:szCs w:val="20"/>
        </w:rPr>
        <w:t>2007</w:t>
      </w:r>
      <w:r>
        <w:rPr>
          <w:rFonts w:asciiTheme="majorBidi" w:hAnsiTheme="majorBidi" w:cstheme="majorBidi"/>
          <w:sz w:val="20"/>
          <w:szCs w:val="20"/>
        </w:rPr>
        <w:t>)</w:t>
      </w:r>
      <w:r w:rsidRPr="00D17849">
        <w:rPr>
          <w:rFonts w:asciiTheme="majorBidi" w:hAnsiTheme="majorBidi" w:cstheme="majorBidi"/>
          <w:sz w:val="20"/>
          <w:szCs w:val="20"/>
        </w:rPr>
        <w:t xml:space="preserve">. The influence of ownership on performance: Stakeholders and strategic contingency perspectives, </w:t>
      </w:r>
      <w:proofErr w:type="spellStart"/>
      <w:r w:rsidRPr="00D17849">
        <w:rPr>
          <w:rFonts w:asciiTheme="majorBidi" w:hAnsiTheme="majorBidi" w:cstheme="majorBidi"/>
          <w:sz w:val="20"/>
          <w:szCs w:val="20"/>
        </w:rPr>
        <w:t>Schmalenbach</w:t>
      </w:r>
      <w:proofErr w:type="spellEnd"/>
      <w:r w:rsidRPr="00D17849">
        <w:rPr>
          <w:rFonts w:asciiTheme="majorBidi" w:hAnsiTheme="majorBidi" w:cstheme="majorBidi"/>
          <w:sz w:val="20"/>
          <w:szCs w:val="20"/>
        </w:rPr>
        <w:t xml:space="preserve"> Business Review, 59, 225-242</w:t>
      </w:r>
      <w:r>
        <w:rPr>
          <w:rFonts w:asciiTheme="majorBidi" w:hAnsiTheme="majorBidi" w:cstheme="majorBidi"/>
          <w:sz w:val="20"/>
          <w:szCs w:val="20"/>
        </w:rPr>
        <w:t xml:space="preserve">. </w:t>
      </w:r>
      <w:hyperlink r:id="rId22" w:history="1">
        <w:r w:rsidRPr="00E953A6">
          <w:rPr>
            <w:rStyle w:val="Hyperlink"/>
            <w:rFonts w:asciiTheme="majorBidi" w:hAnsiTheme="majorBidi" w:cstheme="majorBidi"/>
            <w:sz w:val="20"/>
            <w:szCs w:val="20"/>
          </w:rPr>
          <w:t>https://doi.org/10.1007/BF03396749</w:t>
        </w:r>
      </w:hyperlink>
      <w:r>
        <w:rPr>
          <w:rFonts w:asciiTheme="majorBidi" w:hAnsiTheme="majorBidi" w:cstheme="majorBidi"/>
          <w:sz w:val="20"/>
          <w:szCs w:val="20"/>
        </w:rPr>
        <w:t xml:space="preserve">. </w:t>
      </w:r>
    </w:p>
    <w:p w14:paraId="71A5CEA2" w14:textId="77777777" w:rsidR="006E4B3F" w:rsidRDefault="006E4B3F" w:rsidP="006E4B3F">
      <w:pPr>
        <w:jc w:val="both"/>
        <w:rPr>
          <w:rFonts w:asciiTheme="majorBidi" w:hAnsiTheme="majorBidi" w:cstheme="majorBidi"/>
          <w:sz w:val="20"/>
          <w:szCs w:val="20"/>
        </w:rPr>
      </w:pPr>
      <w:r w:rsidRPr="004B4C5D">
        <w:rPr>
          <w:rFonts w:asciiTheme="majorBidi" w:hAnsiTheme="majorBidi" w:cstheme="majorBidi"/>
          <w:sz w:val="20"/>
          <w:szCs w:val="20"/>
        </w:rPr>
        <w:t>Bushman, R. and Smith, A. (2001). Financial Acco</w:t>
      </w:r>
      <w:bookmarkStart w:id="15" w:name="w76"/>
      <w:bookmarkEnd w:id="15"/>
      <w:r w:rsidRPr="004B4C5D">
        <w:rPr>
          <w:rFonts w:asciiTheme="majorBidi" w:hAnsiTheme="majorBidi" w:cstheme="majorBidi"/>
          <w:sz w:val="20"/>
          <w:szCs w:val="20"/>
        </w:rPr>
        <w:t xml:space="preserve">unting Information and Corporate Governance, Journal of Accounting and Economics, Vol. 32, Issues 1–3, Pages 237-333. </w:t>
      </w:r>
      <w:hyperlink r:id="rId23" w:history="1">
        <w:r w:rsidRPr="00AE3F58">
          <w:rPr>
            <w:rStyle w:val="Hyperlink"/>
            <w:rFonts w:asciiTheme="majorBidi" w:hAnsiTheme="majorBidi" w:cstheme="majorBidi"/>
            <w:sz w:val="20"/>
            <w:szCs w:val="20"/>
          </w:rPr>
          <w:t>https://doi.org/10.1016/S0165-4101(01)00027-1</w:t>
        </w:r>
      </w:hyperlink>
      <w:r w:rsidRPr="004B4C5D">
        <w:rPr>
          <w:rFonts w:asciiTheme="majorBidi" w:hAnsiTheme="majorBidi" w:cstheme="majorBidi"/>
          <w:sz w:val="20"/>
          <w:szCs w:val="20"/>
        </w:rPr>
        <w:t>.</w:t>
      </w:r>
    </w:p>
    <w:p w14:paraId="00F5145E" w14:textId="77777777" w:rsidR="006E4B3F" w:rsidRPr="00BC4BD7" w:rsidRDefault="006E4B3F" w:rsidP="006E4B3F">
      <w:pPr>
        <w:jc w:val="both"/>
        <w:rPr>
          <w:rFonts w:asciiTheme="majorBidi" w:hAnsiTheme="majorBidi" w:cstheme="majorBidi"/>
          <w:sz w:val="20"/>
          <w:szCs w:val="20"/>
          <w:rtl/>
        </w:rPr>
      </w:pPr>
      <w:bookmarkStart w:id="16" w:name="w18"/>
      <w:proofErr w:type="spellStart"/>
      <w:r w:rsidRPr="00BC4BD7">
        <w:rPr>
          <w:rFonts w:asciiTheme="majorBidi" w:hAnsiTheme="majorBidi" w:cstheme="majorBidi"/>
          <w:sz w:val="20"/>
          <w:szCs w:val="20"/>
        </w:rPr>
        <w:t>Campello</w:t>
      </w:r>
      <w:proofErr w:type="spellEnd"/>
      <w:r w:rsidRPr="00BC4BD7">
        <w:rPr>
          <w:rFonts w:asciiTheme="majorBidi" w:hAnsiTheme="majorBidi" w:cstheme="majorBidi"/>
          <w:sz w:val="20"/>
          <w:szCs w:val="20"/>
        </w:rPr>
        <w:t xml:space="preserve">, M., Graham, J. and C., Harvey (2010). The real effects of financial constraints: evidence from a financial crisis. J. </w:t>
      </w:r>
      <w:proofErr w:type="spellStart"/>
      <w:r w:rsidRPr="00BC4BD7">
        <w:rPr>
          <w:rFonts w:asciiTheme="majorBidi" w:hAnsiTheme="majorBidi" w:cstheme="majorBidi"/>
          <w:sz w:val="20"/>
          <w:szCs w:val="20"/>
        </w:rPr>
        <w:t>Financ</w:t>
      </w:r>
      <w:proofErr w:type="spellEnd"/>
      <w:r w:rsidRPr="00BC4BD7">
        <w:rPr>
          <w:rFonts w:asciiTheme="majorBidi" w:hAnsiTheme="majorBidi" w:cstheme="majorBidi"/>
          <w:sz w:val="20"/>
          <w:szCs w:val="20"/>
        </w:rPr>
        <w:t>. Econ. 97 (3), 470–487.</w:t>
      </w:r>
      <w:r>
        <w:rPr>
          <w:rFonts w:asciiTheme="majorBidi" w:hAnsiTheme="majorBidi" w:cstheme="majorBidi"/>
          <w:sz w:val="20"/>
          <w:szCs w:val="20"/>
        </w:rPr>
        <w:t xml:space="preserve"> </w:t>
      </w:r>
      <w:hyperlink r:id="rId24" w:history="1">
        <w:r w:rsidRPr="00E953A6">
          <w:rPr>
            <w:rStyle w:val="Hyperlink"/>
            <w:rFonts w:asciiTheme="majorBidi" w:hAnsiTheme="majorBidi" w:cstheme="majorBidi"/>
            <w:sz w:val="20"/>
            <w:szCs w:val="20"/>
          </w:rPr>
          <w:t>https://doi.org/10.1016/j.jfineco.2010.02.009</w:t>
        </w:r>
      </w:hyperlink>
      <w:r>
        <w:rPr>
          <w:rFonts w:asciiTheme="majorBidi" w:hAnsiTheme="majorBidi" w:cstheme="majorBidi"/>
          <w:sz w:val="20"/>
          <w:szCs w:val="20"/>
        </w:rPr>
        <w:t xml:space="preserve">. </w:t>
      </w:r>
    </w:p>
    <w:p w14:paraId="551B02D5" w14:textId="77777777" w:rsidR="006E4B3F" w:rsidRPr="00BC4BD7" w:rsidRDefault="006E4B3F" w:rsidP="006E4B3F">
      <w:pPr>
        <w:jc w:val="both"/>
        <w:rPr>
          <w:rFonts w:asciiTheme="majorBidi" w:hAnsiTheme="majorBidi" w:cstheme="majorBidi"/>
          <w:sz w:val="20"/>
          <w:szCs w:val="20"/>
          <w:rtl/>
        </w:rPr>
      </w:pPr>
      <w:bookmarkStart w:id="17" w:name="w44"/>
      <w:bookmarkEnd w:id="16"/>
      <w:r w:rsidRPr="00BC4BD7">
        <w:rPr>
          <w:rFonts w:asciiTheme="majorBidi" w:hAnsiTheme="majorBidi" w:cstheme="majorBidi"/>
          <w:sz w:val="20"/>
          <w:szCs w:val="20"/>
        </w:rPr>
        <w:lastRenderedPageBreak/>
        <w:t>Cano-Rodríguez, M., Sánchez-</w:t>
      </w:r>
      <w:proofErr w:type="spellStart"/>
      <w:r w:rsidRPr="00BC4BD7">
        <w:rPr>
          <w:rFonts w:asciiTheme="majorBidi" w:hAnsiTheme="majorBidi" w:cstheme="majorBidi"/>
          <w:sz w:val="20"/>
          <w:szCs w:val="20"/>
        </w:rPr>
        <w:t>Alegría</w:t>
      </w:r>
      <w:proofErr w:type="spellEnd"/>
      <w:r w:rsidRPr="00BC4BD7">
        <w:rPr>
          <w:rFonts w:asciiTheme="majorBidi" w:hAnsiTheme="majorBidi" w:cstheme="majorBidi"/>
          <w:sz w:val="20"/>
          <w:szCs w:val="20"/>
        </w:rPr>
        <w:t>, S. and P. Arenas-Torres (2016). The influence of auditor’s opinion and auditor’s reputation on the cost of debt: evidence from private Spanish firms. Journal</w:t>
      </w:r>
      <w:r w:rsidRPr="00BC4BD7">
        <w:rPr>
          <w:rFonts w:asciiTheme="majorBidi" w:hAnsiTheme="majorBidi" w:cstheme="majorBidi"/>
          <w:sz w:val="20"/>
          <w:szCs w:val="20"/>
          <w:rtl/>
        </w:rPr>
        <w:t xml:space="preserve"> </w:t>
      </w:r>
      <w:r w:rsidRPr="00BC4BD7">
        <w:rPr>
          <w:rFonts w:asciiTheme="majorBidi" w:hAnsiTheme="majorBidi" w:cstheme="majorBidi"/>
          <w:sz w:val="20"/>
          <w:szCs w:val="20"/>
        </w:rPr>
        <w:t xml:space="preserve">Spanish Journal of Finance and Accounting, Volume 45, Issue 1, </w:t>
      </w:r>
      <w:hyperlink r:id="rId25" w:history="1">
        <w:r w:rsidRPr="00BC4BD7">
          <w:rPr>
            <w:rStyle w:val="Hyperlink"/>
            <w:rFonts w:asciiTheme="majorBidi" w:hAnsiTheme="majorBidi" w:cstheme="majorBidi"/>
            <w:sz w:val="20"/>
            <w:szCs w:val="20"/>
          </w:rPr>
          <w:t>https://doi.org/10.1080/02102412.2015.1111096</w:t>
        </w:r>
      </w:hyperlink>
      <w:r w:rsidRPr="00BC4BD7">
        <w:rPr>
          <w:rFonts w:asciiTheme="majorBidi" w:hAnsiTheme="majorBidi" w:cstheme="majorBidi"/>
          <w:sz w:val="20"/>
          <w:szCs w:val="20"/>
        </w:rPr>
        <w:t>.</w:t>
      </w:r>
    </w:p>
    <w:p w14:paraId="0848976D" w14:textId="77777777" w:rsidR="006E4B3F" w:rsidRPr="001141DC" w:rsidRDefault="006E4B3F" w:rsidP="006E4B3F">
      <w:pPr>
        <w:jc w:val="both"/>
        <w:rPr>
          <w:rFonts w:asciiTheme="majorBidi" w:hAnsiTheme="majorBidi" w:cstheme="majorBidi"/>
          <w:sz w:val="20"/>
          <w:szCs w:val="20"/>
          <w:rtl/>
        </w:rPr>
      </w:pPr>
      <w:bookmarkStart w:id="18" w:name="w70"/>
      <w:bookmarkEnd w:id="17"/>
      <w:r w:rsidRPr="006707E4">
        <w:rPr>
          <w:rFonts w:asciiTheme="majorBidi" w:hAnsiTheme="majorBidi" w:cstheme="majorBidi"/>
          <w:sz w:val="20"/>
          <w:szCs w:val="20"/>
        </w:rPr>
        <w:t>Chan, K.H., Mo, P.L.L. and Zhou, A.Y. (2013), Government ownership, corporate governance and tax aggressiveness: evidence from China. Account Finance, 53: 1029-1051.</w:t>
      </w:r>
      <w:r>
        <w:rPr>
          <w:rFonts w:asciiTheme="majorBidi" w:hAnsiTheme="majorBidi" w:cstheme="majorBidi"/>
          <w:sz w:val="20"/>
          <w:szCs w:val="20"/>
        </w:rPr>
        <w:t xml:space="preserve"> </w:t>
      </w:r>
      <w:hyperlink r:id="rId26" w:history="1">
        <w:r w:rsidRPr="00E953A6">
          <w:rPr>
            <w:rStyle w:val="Hyperlink"/>
            <w:rFonts w:asciiTheme="majorBidi" w:hAnsiTheme="majorBidi" w:cstheme="majorBidi"/>
            <w:sz w:val="20"/>
            <w:szCs w:val="20"/>
          </w:rPr>
          <w:t>https://doi.org/10.1111/acfi.12043</w:t>
        </w:r>
      </w:hyperlink>
      <w:r>
        <w:rPr>
          <w:rFonts w:asciiTheme="majorBidi" w:hAnsiTheme="majorBidi" w:cstheme="majorBidi"/>
          <w:sz w:val="20"/>
          <w:szCs w:val="20"/>
        </w:rPr>
        <w:t xml:space="preserve">. </w:t>
      </w:r>
    </w:p>
    <w:p w14:paraId="63E5DAB5" w14:textId="77777777" w:rsidR="006E4B3F" w:rsidRPr="00BC4BD7" w:rsidRDefault="006E4B3F" w:rsidP="006E4B3F">
      <w:pPr>
        <w:jc w:val="both"/>
        <w:rPr>
          <w:rFonts w:asciiTheme="majorBidi" w:hAnsiTheme="majorBidi" w:cstheme="majorBidi"/>
          <w:sz w:val="20"/>
          <w:szCs w:val="20"/>
        </w:rPr>
      </w:pPr>
      <w:bookmarkStart w:id="19" w:name="w68"/>
      <w:bookmarkEnd w:id="18"/>
      <w:r w:rsidRPr="00BC4BD7">
        <w:rPr>
          <w:rFonts w:asciiTheme="majorBidi" w:hAnsiTheme="majorBidi" w:cstheme="majorBidi"/>
          <w:sz w:val="20"/>
          <w:szCs w:val="20"/>
        </w:rPr>
        <w:t>Chen, B and X. Zhang (2018). If Leases are not capitalized: The Effects of a Qualified Audit Opinion on Investors’ Judgments and Decisions. Journal of Accounting and Finance, Vol. 18, ss. 2, pp. 200-212</w:t>
      </w:r>
      <w:r w:rsidRPr="00BC4BD7">
        <w:rPr>
          <w:rFonts w:asciiTheme="majorBidi" w:hAnsiTheme="majorBidi" w:cstheme="majorBidi"/>
          <w:sz w:val="20"/>
          <w:szCs w:val="20"/>
          <w:rtl/>
        </w:rPr>
        <w:t>.</w:t>
      </w:r>
    </w:p>
    <w:p w14:paraId="04042EBE" w14:textId="77777777" w:rsidR="006E4B3F" w:rsidRDefault="006E4B3F" w:rsidP="006E4B3F">
      <w:pPr>
        <w:jc w:val="both"/>
        <w:rPr>
          <w:rFonts w:asciiTheme="majorBidi" w:hAnsiTheme="majorBidi" w:cstheme="majorBidi"/>
          <w:sz w:val="20"/>
          <w:szCs w:val="20"/>
        </w:rPr>
      </w:pPr>
      <w:bookmarkStart w:id="20" w:name="w78"/>
      <w:bookmarkEnd w:id="19"/>
      <w:r w:rsidRPr="00886AFD">
        <w:rPr>
          <w:rFonts w:asciiTheme="majorBidi" w:hAnsiTheme="majorBidi" w:cstheme="majorBidi"/>
          <w:sz w:val="20"/>
          <w:szCs w:val="20"/>
        </w:rPr>
        <w:t xml:space="preserve">Chen, C. J. P., Su, X., and Wu, X. (2010). Auditor changes following a big 4 mergers with a local Chinese firm: A case study. Auditing: A Journal of Practice &amp; Theory, 29(1), 41–72. </w:t>
      </w:r>
      <w:hyperlink r:id="rId27" w:history="1">
        <w:r w:rsidRPr="00AE3F58">
          <w:rPr>
            <w:rStyle w:val="Hyperlink"/>
            <w:rFonts w:asciiTheme="majorBidi" w:hAnsiTheme="majorBidi" w:cstheme="majorBidi"/>
            <w:sz w:val="20"/>
            <w:szCs w:val="20"/>
          </w:rPr>
          <w:t>https://doi.org/10.2308/aud.2010.29.1.41</w:t>
        </w:r>
      </w:hyperlink>
      <w:r w:rsidRPr="00886AFD">
        <w:rPr>
          <w:rFonts w:asciiTheme="majorBidi" w:hAnsiTheme="majorBidi" w:cstheme="majorBidi"/>
          <w:sz w:val="20"/>
          <w:szCs w:val="20"/>
        </w:rPr>
        <w:t>.</w:t>
      </w:r>
    </w:p>
    <w:p w14:paraId="2F81F276" w14:textId="77777777" w:rsidR="006E4B3F" w:rsidRPr="00BC4BD7" w:rsidRDefault="006E4B3F" w:rsidP="006E4B3F">
      <w:pPr>
        <w:jc w:val="both"/>
        <w:rPr>
          <w:rFonts w:asciiTheme="majorBidi" w:hAnsiTheme="majorBidi" w:cstheme="majorBidi"/>
          <w:sz w:val="20"/>
          <w:szCs w:val="20"/>
          <w:rtl/>
        </w:rPr>
      </w:pPr>
      <w:bookmarkStart w:id="21" w:name="w43"/>
      <w:bookmarkEnd w:id="20"/>
      <w:r w:rsidRPr="00BC4BD7">
        <w:rPr>
          <w:rFonts w:asciiTheme="majorBidi" w:hAnsiTheme="majorBidi" w:cstheme="majorBidi"/>
          <w:sz w:val="20"/>
          <w:szCs w:val="20"/>
        </w:rPr>
        <w:t xml:space="preserve">Chen, J., Cumming, D., </w:t>
      </w:r>
      <w:proofErr w:type="spellStart"/>
      <w:r w:rsidRPr="00BC4BD7">
        <w:rPr>
          <w:rFonts w:asciiTheme="majorBidi" w:hAnsiTheme="majorBidi" w:cstheme="majorBidi"/>
          <w:sz w:val="20"/>
          <w:szCs w:val="20"/>
        </w:rPr>
        <w:t>Hou</w:t>
      </w:r>
      <w:proofErr w:type="spellEnd"/>
      <w:r w:rsidRPr="00BC4BD7">
        <w:rPr>
          <w:rFonts w:asciiTheme="majorBidi" w:hAnsiTheme="majorBidi" w:cstheme="majorBidi"/>
          <w:sz w:val="20"/>
          <w:szCs w:val="20"/>
        </w:rPr>
        <w:t>, W. and E Lee (2013). Executive integrity, audit opinion, and fraud in Chinese listed firms. Emerging Markets Review, Volume 15, Pages 72-91.</w:t>
      </w:r>
      <w:r w:rsidRPr="00514427">
        <w:t xml:space="preserve"> </w:t>
      </w:r>
      <w:hyperlink r:id="rId28" w:history="1">
        <w:r w:rsidRPr="00E953A6">
          <w:rPr>
            <w:rStyle w:val="Hyperlink"/>
            <w:rFonts w:asciiTheme="majorBidi" w:hAnsiTheme="majorBidi" w:cstheme="majorBidi"/>
            <w:sz w:val="20"/>
            <w:szCs w:val="20"/>
          </w:rPr>
          <w:t>https://doi.org/10.1016/j.ememar.2012.12.003</w:t>
        </w:r>
      </w:hyperlink>
      <w:r>
        <w:rPr>
          <w:rFonts w:asciiTheme="majorBidi" w:hAnsiTheme="majorBidi" w:cstheme="majorBidi"/>
          <w:sz w:val="20"/>
          <w:szCs w:val="20"/>
        </w:rPr>
        <w:t xml:space="preserve">. </w:t>
      </w:r>
    </w:p>
    <w:p w14:paraId="273F5EA1" w14:textId="77777777" w:rsidR="006E4B3F" w:rsidRPr="00BC4BD7" w:rsidRDefault="006E4B3F" w:rsidP="006E4B3F">
      <w:pPr>
        <w:jc w:val="both"/>
        <w:rPr>
          <w:rFonts w:asciiTheme="majorBidi" w:hAnsiTheme="majorBidi" w:cstheme="majorBidi"/>
          <w:sz w:val="20"/>
          <w:szCs w:val="20"/>
        </w:rPr>
      </w:pPr>
      <w:bookmarkStart w:id="22" w:name="w7"/>
      <w:bookmarkEnd w:id="21"/>
      <w:r w:rsidRPr="00BC4BD7">
        <w:rPr>
          <w:rFonts w:asciiTheme="majorBidi" w:hAnsiTheme="majorBidi" w:cstheme="majorBidi"/>
          <w:sz w:val="20"/>
          <w:szCs w:val="20"/>
        </w:rPr>
        <w:t xml:space="preserve">Chen, X., Hu, N., Wang, X. and X., Tang (2014). Tax avoidance and firm value: evidence from China. </w:t>
      </w:r>
      <w:proofErr w:type="spellStart"/>
      <w:r w:rsidRPr="00BC4BD7">
        <w:rPr>
          <w:rFonts w:asciiTheme="majorBidi" w:hAnsiTheme="majorBidi" w:cstheme="majorBidi"/>
          <w:sz w:val="20"/>
          <w:szCs w:val="20"/>
        </w:rPr>
        <w:t>Nankai</w:t>
      </w:r>
      <w:proofErr w:type="spellEnd"/>
      <w:r w:rsidRPr="00BC4BD7">
        <w:rPr>
          <w:rFonts w:asciiTheme="majorBidi" w:hAnsiTheme="majorBidi" w:cstheme="majorBidi"/>
          <w:sz w:val="20"/>
          <w:szCs w:val="20"/>
        </w:rPr>
        <w:t xml:space="preserve"> Business Review International, Vol. 5 No. 1, pp. 25-42. </w:t>
      </w:r>
      <w:hyperlink r:id="rId29" w:history="1">
        <w:r w:rsidRPr="00BC4BD7">
          <w:rPr>
            <w:rStyle w:val="Hyperlink"/>
            <w:rFonts w:asciiTheme="majorBidi" w:hAnsiTheme="majorBidi" w:cstheme="majorBidi"/>
            <w:sz w:val="20"/>
            <w:szCs w:val="20"/>
          </w:rPr>
          <w:t>https://doi.org/10.1108/NBRI-10-2013-0037</w:t>
        </w:r>
      </w:hyperlink>
      <w:r w:rsidRPr="00BC4BD7">
        <w:rPr>
          <w:rFonts w:asciiTheme="majorBidi" w:hAnsiTheme="majorBidi" w:cstheme="majorBidi"/>
          <w:sz w:val="20"/>
          <w:szCs w:val="20"/>
        </w:rPr>
        <w:t>.</w:t>
      </w:r>
    </w:p>
    <w:p w14:paraId="451DFE16" w14:textId="77777777" w:rsidR="006E4B3F" w:rsidRDefault="006E4B3F" w:rsidP="006E4B3F">
      <w:pPr>
        <w:jc w:val="both"/>
        <w:rPr>
          <w:rFonts w:asciiTheme="majorBidi" w:hAnsiTheme="majorBidi" w:cstheme="majorBidi"/>
          <w:sz w:val="20"/>
          <w:szCs w:val="20"/>
        </w:rPr>
      </w:pPr>
      <w:bookmarkStart w:id="23" w:name="w72"/>
      <w:bookmarkEnd w:id="22"/>
      <w:r w:rsidRPr="00BC4BD7">
        <w:rPr>
          <w:rFonts w:asciiTheme="majorBidi" w:hAnsiTheme="majorBidi" w:cstheme="majorBidi"/>
          <w:sz w:val="20"/>
          <w:szCs w:val="20"/>
        </w:rPr>
        <w:t>Chen, X., Lin, X., Ding, W. and K. Zhu (2018). State ownership, performance evaluation and tax avoidance. Journal China Journal of Accounting Studies, Volume 6, Issue 1, Pages 84-105.</w:t>
      </w:r>
      <w:r>
        <w:rPr>
          <w:rFonts w:asciiTheme="majorBidi" w:hAnsiTheme="majorBidi" w:cstheme="majorBidi"/>
          <w:sz w:val="20"/>
          <w:szCs w:val="20"/>
        </w:rPr>
        <w:t xml:space="preserve"> </w:t>
      </w:r>
      <w:hyperlink r:id="rId30" w:history="1">
        <w:r w:rsidRPr="00E953A6">
          <w:rPr>
            <w:rStyle w:val="Hyperlink"/>
            <w:rFonts w:asciiTheme="majorBidi" w:hAnsiTheme="majorBidi" w:cstheme="majorBidi"/>
            <w:sz w:val="20"/>
            <w:szCs w:val="20"/>
          </w:rPr>
          <w:t>https://doi.org/10.1080/21697213.2018.1494109</w:t>
        </w:r>
      </w:hyperlink>
      <w:r>
        <w:rPr>
          <w:rFonts w:asciiTheme="majorBidi" w:hAnsiTheme="majorBidi" w:cstheme="majorBidi"/>
          <w:sz w:val="20"/>
          <w:szCs w:val="20"/>
        </w:rPr>
        <w:t xml:space="preserve">. </w:t>
      </w:r>
    </w:p>
    <w:p w14:paraId="2AA9634A" w14:textId="77777777" w:rsidR="006E4B3F" w:rsidRPr="00BC4BD7" w:rsidRDefault="006E4B3F" w:rsidP="006E4B3F">
      <w:pPr>
        <w:jc w:val="both"/>
        <w:rPr>
          <w:rFonts w:asciiTheme="majorBidi" w:hAnsiTheme="majorBidi" w:cstheme="majorBidi"/>
          <w:sz w:val="20"/>
          <w:szCs w:val="20"/>
          <w:rtl/>
        </w:rPr>
      </w:pPr>
      <w:bookmarkStart w:id="24" w:name="w6"/>
      <w:bookmarkEnd w:id="23"/>
      <w:r w:rsidRPr="00BC4BD7">
        <w:rPr>
          <w:rFonts w:asciiTheme="majorBidi" w:hAnsiTheme="majorBidi" w:cstheme="majorBidi"/>
          <w:sz w:val="20"/>
          <w:szCs w:val="20"/>
        </w:rPr>
        <w:t>Choi, H m. (2015). A Tale of two uncertainties. Loyola University</w:t>
      </w:r>
      <w:r w:rsidRPr="00BC4BD7">
        <w:rPr>
          <w:rFonts w:asciiTheme="majorBidi" w:hAnsiTheme="majorBidi" w:cstheme="majorBidi"/>
          <w:sz w:val="20"/>
          <w:szCs w:val="20"/>
          <w:rtl/>
        </w:rPr>
        <w:t xml:space="preserve"> </w:t>
      </w:r>
      <w:r w:rsidRPr="00BC4BD7">
        <w:rPr>
          <w:rFonts w:asciiTheme="majorBidi" w:hAnsiTheme="majorBidi" w:cstheme="majorBidi"/>
          <w:sz w:val="20"/>
          <w:szCs w:val="20"/>
        </w:rPr>
        <w:t>Chicago. Working paper. Access date 2016.</w:t>
      </w:r>
      <w:r>
        <w:rPr>
          <w:rFonts w:asciiTheme="majorBidi" w:hAnsiTheme="majorBidi" w:cstheme="majorBidi"/>
          <w:sz w:val="20"/>
          <w:szCs w:val="20"/>
        </w:rPr>
        <w:t xml:space="preserve"> </w:t>
      </w:r>
      <w:hyperlink r:id="rId31" w:history="1">
        <w:r w:rsidRPr="00E953A6">
          <w:rPr>
            <w:rStyle w:val="Hyperlink"/>
            <w:rFonts w:asciiTheme="majorBidi" w:hAnsiTheme="majorBidi" w:cstheme="majorBidi"/>
            <w:sz w:val="20"/>
            <w:szCs w:val="20"/>
          </w:rPr>
          <w:t>https://doi.org/10.1016/j.jbankfin.2018.04.007</w:t>
        </w:r>
      </w:hyperlink>
      <w:r w:rsidRPr="00514427">
        <w:rPr>
          <w:rFonts w:asciiTheme="majorBidi" w:hAnsiTheme="majorBidi" w:cstheme="majorBidi"/>
          <w:sz w:val="20"/>
          <w:szCs w:val="20"/>
        </w:rPr>
        <w:t>.</w:t>
      </w:r>
      <w:r>
        <w:rPr>
          <w:rFonts w:asciiTheme="majorBidi" w:hAnsiTheme="majorBidi" w:cstheme="majorBidi"/>
          <w:sz w:val="20"/>
          <w:szCs w:val="20"/>
        </w:rPr>
        <w:t xml:space="preserve"> </w:t>
      </w:r>
    </w:p>
    <w:p w14:paraId="3F52EACB" w14:textId="77777777" w:rsidR="006E4B3F" w:rsidRPr="00BC4BD7" w:rsidRDefault="006E4B3F" w:rsidP="006E4B3F">
      <w:pPr>
        <w:jc w:val="both"/>
        <w:rPr>
          <w:rFonts w:asciiTheme="majorBidi" w:hAnsiTheme="majorBidi" w:cstheme="majorBidi"/>
          <w:sz w:val="20"/>
          <w:szCs w:val="20"/>
          <w:rtl/>
        </w:rPr>
      </w:pPr>
      <w:bookmarkStart w:id="25" w:name="w2"/>
      <w:bookmarkEnd w:id="24"/>
      <w:r w:rsidRPr="00BC4BD7">
        <w:rPr>
          <w:rFonts w:asciiTheme="majorBidi" w:hAnsiTheme="majorBidi" w:cstheme="majorBidi"/>
          <w:sz w:val="20"/>
          <w:szCs w:val="20"/>
        </w:rPr>
        <w:t xml:space="preserve">Cohen, J., Gaynor, L., </w:t>
      </w:r>
      <w:proofErr w:type="spellStart"/>
      <w:r w:rsidRPr="00BC4BD7">
        <w:rPr>
          <w:rFonts w:asciiTheme="majorBidi" w:hAnsiTheme="majorBidi" w:cstheme="majorBidi"/>
          <w:sz w:val="20"/>
          <w:szCs w:val="20"/>
        </w:rPr>
        <w:t>Krishnamoorthy</w:t>
      </w:r>
      <w:proofErr w:type="spellEnd"/>
      <w:r w:rsidRPr="00BC4BD7">
        <w:rPr>
          <w:rFonts w:asciiTheme="majorBidi" w:hAnsiTheme="majorBidi" w:cstheme="majorBidi"/>
          <w:sz w:val="20"/>
          <w:szCs w:val="20"/>
        </w:rPr>
        <w:t>, G. and A., Wright (2011). The impact of auditor judgments of CEO influence on audit committee independence and management incentives. Auditing: A Journal of Practice &amp; Theory 30, 129–147</w:t>
      </w:r>
      <w:r w:rsidRPr="00BC4BD7">
        <w:rPr>
          <w:rFonts w:asciiTheme="majorBidi" w:hAnsiTheme="majorBidi" w:cstheme="majorBidi"/>
          <w:sz w:val="20"/>
          <w:szCs w:val="20"/>
          <w:rtl/>
        </w:rPr>
        <w:t>.</w:t>
      </w:r>
      <w:r>
        <w:rPr>
          <w:rFonts w:asciiTheme="majorBidi" w:hAnsiTheme="majorBidi" w:cstheme="majorBidi"/>
          <w:sz w:val="20"/>
          <w:szCs w:val="20"/>
        </w:rPr>
        <w:t xml:space="preserve"> </w:t>
      </w:r>
      <w:hyperlink r:id="rId32" w:history="1">
        <w:r w:rsidRPr="00E953A6">
          <w:rPr>
            <w:rStyle w:val="Hyperlink"/>
            <w:rFonts w:asciiTheme="majorBidi" w:hAnsiTheme="majorBidi" w:cstheme="majorBidi"/>
            <w:sz w:val="20"/>
            <w:szCs w:val="20"/>
          </w:rPr>
          <w:t>https://doi.org/10.2308/ajpt-10146</w:t>
        </w:r>
      </w:hyperlink>
      <w:r>
        <w:rPr>
          <w:rFonts w:asciiTheme="majorBidi" w:hAnsiTheme="majorBidi" w:cstheme="majorBidi"/>
          <w:sz w:val="20"/>
          <w:szCs w:val="20"/>
        </w:rPr>
        <w:t xml:space="preserve">. </w:t>
      </w:r>
    </w:p>
    <w:p w14:paraId="6B065093" w14:textId="77777777" w:rsidR="006E4B3F" w:rsidRPr="00BC4BD7" w:rsidRDefault="006E4B3F" w:rsidP="006E4B3F">
      <w:pPr>
        <w:jc w:val="both"/>
        <w:rPr>
          <w:rFonts w:asciiTheme="majorBidi" w:hAnsiTheme="majorBidi" w:cstheme="majorBidi"/>
          <w:sz w:val="20"/>
          <w:szCs w:val="20"/>
          <w:rtl/>
        </w:rPr>
      </w:pPr>
      <w:bookmarkStart w:id="26" w:name="w4"/>
      <w:bookmarkEnd w:id="25"/>
      <w:proofErr w:type="spellStart"/>
      <w:proofErr w:type="gramStart"/>
      <w:r w:rsidRPr="00BC4BD7">
        <w:rPr>
          <w:rFonts w:asciiTheme="majorBidi" w:hAnsiTheme="majorBidi" w:cstheme="majorBidi"/>
          <w:sz w:val="20"/>
          <w:szCs w:val="20"/>
        </w:rPr>
        <w:t>Cullinan,Ch</w:t>
      </w:r>
      <w:proofErr w:type="spellEnd"/>
      <w:proofErr w:type="gramEnd"/>
      <w:r w:rsidRPr="00BC4BD7">
        <w:rPr>
          <w:rFonts w:asciiTheme="majorBidi" w:hAnsiTheme="majorBidi" w:cstheme="majorBidi"/>
          <w:sz w:val="20"/>
          <w:szCs w:val="20"/>
        </w:rPr>
        <w:t xml:space="preserve"> P.,  Wang, F, Yang, B and J Zhang (2013). Audit opinion improvement and the timing of disclosure. Advances in Accounting, incorporating Advances in International Accounting, Volume 28, Issue 2, Pages 333-343.</w:t>
      </w:r>
      <w:r>
        <w:rPr>
          <w:rFonts w:asciiTheme="majorBidi" w:hAnsiTheme="majorBidi" w:cstheme="majorBidi"/>
          <w:sz w:val="20"/>
          <w:szCs w:val="20"/>
        </w:rPr>
        <w:t xml:space="preserve"> </w:t>
      </w:r>
      <w:hyperlink r:id="rId33" w:history="1">
        <w:r w:rsidRPr="00E953A6">
          <w:rPr>
            <w:rStyle w:val="Hyperlink"/>
            <w:rFonts w:asciiTheme="majorBidi" w:hAnsiTheme="majorBidi" w:cstheme="majorBidi"/>
            <w:sz w:val="20"/>
            <w:szCs w:val="20"/>
          </w:rPr>
          <w:t>https://doi.org/10.1016/j.adiac.2012.09.010</w:t>
        </w:r>
      </w:hyperlink>
      <w:r>
        <w:rPr>
          <w:rFonts w:asciiTheme="majorBidi" w:hAnsiTheme="majorBidi" w:cstheme="majorBidi"/>
          <w:sz w:val="20"/>
          <w:szCs w:val="20"/>
        </w:rPr>
        <w:t xml:space="preserve">. </w:t>
      </w:r>
    </w:p>
    <w:p w14:paraId="6C4E07A4" w14:textId="77777777" w:rsidR="006E4B3F" w:rsidRPr="00BC4BD7" w:rsidRDefault="006E4B3F" w:rsidP="006E4B3F">
      <w:pPr>
        <w:jc w:val="both"/>
        <w:rPr>
          <w:rFonts w:asciiTheme="majorBidi" w:hAnsiTheme="majorBidi" w:cstheme="majorBidi"/>
          <w:sz w:val="20"/>
          <w:szCs w:val="20"/>
          <w:rtl/>
        </w:rPr>
      </w:pPr>
      <w:bookmarkStart w:id="27" w:name="w22"/>
      <w:bookmarkEnd w:id="26"/>
      <w:r w:rsidRPr="00BC4BD7">
        <w:rPr>
          <w:rFonts w:asciiTheme="majorBidi" w:hAnsiTheme="majorBidi" w:cstheme="majorBidi"/>
          <w:sz w:val="20"/>
          <w:szCs w:val="20"/>
        </w:rPr>
        <w:t xml:space="preserve">Dang, </w:t>
      </w:r>
      <w:proofErr w:type="spellStart"/>
      <w:proofErr w:type="gramStart"/>
      <w:r w:rsidRPr="00BC4BD7">
        <w:rPr>
          <w:rFonts w:asciiTheme="majorBidi" w:hAnsiTheme="majorBidi" w:cstheme="majorBidi"/>
          <w:sz w:val="20"/>
          <w:szCs w:val="20"/>
        </w:rPr>
        <w:t>D,Fang</w:t>
      </w:r>
      <w:proofErr w:type="spellEnd"/>
      <w:proofErr w:type="gramEnd"/>
      <w:r w:rsidRPr="00BC4BD7">
        <w:rPr>
          <w:rFonts w:asciiTheme="majorBidi" w:hAnsiTheme="majorBidi" w:cstheme="majorBidi"/>
          <w:sz w:val="20"/>
          <w:szCs w:val="20"/>
        </w:rPr>
        <w:t xml:space="preserve">, H and M, He (2019). Economic policy uncertainty, tax quotas and corporate tax burden: Evidence from China. China Economic Review, Volume 56, 101303. </w:t>
      </w:r>
      <w:hyperlink r:id="rId34" w:history="1">
        <w:r w:rsidRPr="00BC4BD7">
          <w:rPr>
            <w:rStyle w:val="Hyperlink"/>
            <w:rFonts w:asciiTheme="majorBidi" w:hAnsiTheme="majorBidi" w:cstheme="majorBidi"/>
            <w:sz w:val="20"/>
            <w:szCs w:val="20"/>
          </w:rPr>
          <w:t>https://doi.org/10.1016/j.chieco.2019.101303</w:t>
        </w:r>
      </w:hyperlink>
      <w:r w:rsidRPr="00BC4BD7">
        <w:rPr>
          <w:rFonts w:asciiTheme="majorBidi" w:hAnsiTheme="majorBidi" w:cstheme="majorBidi"/>
          <w:sz w:val="20"/>
          <w:szCs w:val="20"/>
        </w:rPr>
        <w:t xml:space="preserve">. </w:t>
      </w:r>
    </w:p>
    <w:p w14:paraId="088822AE" w14:textId="77777777" w:rsidR="006E4B3F" w:rsidRPr="00BC4BD7" w:rsidRDefault="006E4B3F" w:rsidP="006E4B3F">
      <w:pPr>
        <w:jc w:val="both"/>
        <w:rPr>
          <w:rFonts w:asciiTheme="majorBidi" w:hAnsiTheme="majorBidi" w:cstheme="majorBidi"/>
          <w:sz w:val="20"/>
          <w:szCs w:val="20"/>
          <w:rtl/>
        </w:rPr>
      </w:pPr>
      <w:bookmarkStart w:id="28" w:name="w45"/>
      <w:bookmarkEnd w:id="27"/>
      <w:proofErr w:type="spellStart"/>
      <w:r w:rsidRPr="00BC4BD7">
        <w:rPr>
          <w:rFonts w:asciiTheme="majorBidi" w:hAnsiTheme="majorBidi" w:cstheme="majorBidi"/>
          <w:sz w:val="20"/>
          <w:szCs w:val="20"/>
        </w:rPr>
        <w:t>Delios</w:t>
      </w:r>
      <w:proofErr w:type="spellEnd"/>
      <w:r w:rsidRPr="00BC4BD7">
        <w:rPr>
          <w:rFonts w:asciiTheme="majorBidi" w:hAnsiTheme="majorBidi" w:cstheme="majorBidi"/>
          <w:sz w:val="20"/>
          <w:szCs w:val="20"/>
        </w:rPr>
        <w:t>, A., Zhou, N. and W. Xu (2008). Ownership structure and the diversification and performance of publicly-listed companies in China.</w:t>
      </w:r>
      <w:r w:rsidRPr="00BC4BD7">
        <w:rPr>
          <w:rFonts w:asciiTheme="majorBidi" w:hAnsiTheme="majorBidi" w:cstheme="majorBidi"/>
          <w:sz w:val="20"/>
          <w:szCs w:val="20"/>
          <w:rtl/>
        </w:rPr>
        <w:t xml:space="preserve"> </w:t>
      </w:r>
      <w:r w:rsidRPr="00BC4BD7">
        <w:rPr>
          <w:rFonts w:asciiTheme="majorBidi" w:hAnsiTheme="majorBidi" w:cstheme="majorBidi"/>
          <w:sz w:val="20"/>
          <w:szCs w:val="20"/>
        </w:rPr>
        <w:t xml:space="preserve">Bus. </w:t>
      </w:r>
      <w:proofErr w:type="spellStart"/>
      <w:r w:rsidRPr="00BC4BD7">
        <w:rPr>
          <w:rFonts w:asciiTheme="majorBidi" w:hAnsiTheme="majorBidi" w:cstheme="majorBidi"/>
          <w:sz w:val="20"/>
          <w:szCs w:val="20"/>
        </w:rPr>
        <w:t>Horiz</w:t>
      </w:r>
      <w:proofErr w:type="spellEnd"/>
      <w:r w:rsidRPr="00BC4BD7">
        <w:rPr>
          <w:rFonts w:asciiTheme="majorBidi" w:hAnsiTheme="majorBidi" w:cstheme="majorBidi"/>
          <w:sz w:val="20"/>
          <w:szCs w:val="20"/>
        </w:rPr>
        <w:t>. 51, 473–483.</w:t>
      </w:r>
      <w:r>
        <w:rPr>
          <w:rFonts w:asciiTheme="majorBidi" w:hAnsiTheme="majorBidi" w:cstheme="majorBidi"/>
          <w:sz w:val="20"/>
          <w:szCs w:val="20"/>
        </w:rPr>
        <w:t xml:space="preserve"> </w:t>
      </w:r>
      <w:hyperlink r:id="rId35" w:history="1">
        <w:r w:rsidRPr="00E953A6">
          <w:rPr>
            <w:rStyle w:val="Hyperlink"/>
            <w:rFonts w:asciiTheme="majorBidi" w:hAnsiTheme="majorBidi" w:cstheme="majorBidi"/>
            <w:sz w:val="20"/>
            <w:szCs w:val="20"/>
          </w:rPr>
          <w:t>https://doi.org/10.1016/j.bushor.2008.06.004</w:t>
        </w:r>
      </w:hyperlink>
      <w:r>
        <w:rPr>
          <w:rFonts w:asciiTheme="majorBidi" w:hAnsiTheme="majorBidi" w:cstheme="majorBidi"/>
          <w:sz w:val="20"/>
          <w:szCs w:val="20"/>
        </w:rPr>
        <w:t xml:space="preserve">. </w:t>
      </w:r>
    </w:p>
    <w:p w14:paraId="69A729AD" w14:textId="77777777" w:rsidR="006E4B3F" w:rsidRPr="00BC4BD7" w:rsidRDefault="006E4B3F" w:rsidP="006E4B3F">
      <w:pPr>
        <w:jc w:val="both"/>
        <w:rPr>
          <w:rFonts w:asciiTheme="majorBidi" w:hAnsiTheme="majorBidi" w:cstheme="majorBidi"/>
          <w:sz w:val="20"/>
          <w:szCs w:val="20"/>
        </w:rPr>
      </w:pPr>
      <w:bookmarkStart w:id="29" w:name="w8"/>
      <w:bookmarkEnd w:id="28"/>
      <w:r w:rsidRPr="00535384">
        <w:rPr>
          <w:rFonts w:asciiTheme="majorBidi" w:hAnsiTheme="majorBidi" w:cstheme="majorBidi"/>
          <w:sz w:val="20"/>
          <w:szCs w:val="20"/>
        </w:rPr>
        <w:t xml:space="preserve">Desai, M., and D. </w:t>
      </w:r>
      <w:proofErr w:type="spellStart"/>
      <w:r w:rsidRPr="00535384">
        <w:rPr>
          <w:rFonts w:asciiTheme="majorBidi" w:hAnsiTheme="majorBidi" w:cstheme="majorBidi"/>
          <w:sz w:val="20"/>
          <w:szCs w:val="20"/>
        </w:rPr>
        <w:t>Darmapala</w:t>
      </w:r>
      <w:proofErr w:type="spellEnd"/>
      <w:r w:rsidRPr="00535384">
        <w:rPr>
          <w:rFonts w:asciiTheme="majorBidi" w:hAnsiTheme="majorBidi" w:cstheme="majorBidi"/>
          <w:sz w:val="20"/>
          <w:szCs w:val="20"/>
        </w:rPr>
        <w:t xml:space="preserve"> (2009). Corporate tax avoidance and firm value. Review of Economics and Statistics, Vol. 91, PP. 537-546</w:t>
      </w:r>
      <w:r>
        <w:rPr>
          <w:rFonts w:asciiTheme="majorBidi" w:hAnsiTheme="majorBidi" w:cstheme="majorBidi"/>
          <w:sz w:val="20"/>
          <w:szCs w:val="20"/>
        </w:rPr>
        <w:t xml:space="preserve">. </w:t>
      </w:r>
      <w:hyperlink r:id="rId36" w:history="1">
        <w:r w:rsidRPr="00E6116A">
          <w:rPr>
            <w:rStyle w:val="Hyperlink"/>
            <w:rFonts w:asciiTheme="majorBidi" w:hAnsiTheme="majorBidi" w:cstheme="majorBidi"/>
            <w:sz w:val="20"/>
            <w:szCs w:val="20"/>
          </w:rPr>
          <w:t>http://www.mitpressjournals.org/doi/pdf/10.1162/rest.91.3.537</w:t>
        </w:r>
      </w:hyperlink>
      <w:r>
        <w:rPr>
          <w:rFonts w:asciiTheme="majorBidi" w:hAnsiTheme="majorBidi" w:cstheme="majorBidi"/>
          <w:sz w:val="20"/>
          <w:szCs w:val="20"/>
        </w:rPr>
        <w:t>.</w:t>
      </w:r>
    </w:p>
    <w:p w14:paraId="4CF6C217" w14:textId="77777777" w:rsidR="006E4B3F" w:rsidRDefault="006E4B3F" w:rsidP="006E4B3F">
      <w:pPr>
        <w:jc w:val="both"/>
        <w:rPr>
          <w:rFonts w:asciiTheme="majorBidi" w:hAnsiTheme="majorBidi" w:cstheme="majorBidi"/>
          <w:sz w:val="20"/>
          <w:szCs w:val="20"/>
          <w:rtl/>
        </w:rPr>
      </w:pPr>
      <w:bookmarkStart w:id="30" w:name="w21"/>
      <w:bookmarkEnd w:id="29"/>
      <w:r w:rsidRPr="00BC4BD7">
        <w:rPr>
          <w:rFonts w:asciiTheme="majorBidi" w:hAnsiTheme="majorBidi" w:cstheme="majorBidi"/>
          <w:sz w:val="20"/>
          <w:szCs w:val="20"/>
        </w:rPr>
        <w:t xml:space="preserve">Duong, H N, Gul, F A., Nguyen, J H and M, Nguyen (2017). Economic Policy Uncertainty and Firm Tax Avoidance. Available at SSRN: </w:t>
      </w:r>
      <w:hyperlink r:id="rId37" w:history="1">
        <w:r w:rsidRPr="00BC4BD7">
          <w:rPr>
            <w:rStyle w:val="Hyperlink"/>
            <w:rFonts w:asciiTheme="majorBidi" w:hAnsiTheme="majorBidi" w:cstheme="majorBidi"/>
            <w:sz w:val="20"/>
            <w:szCs w:val="20"/>
          </w:rPr>
          <w:t>https://ssrn.com/abstract=3085770</w:t>
        </w:r>
      </w:hyperlink>
      <w:r w:rsidRPr="00BC4BD7">
        <w:rPr>
          <w:rFonts w:asciiTheme="majorBidi" w:hAnsiTheme="majorBidi" w:cstheme="majorBidi"/>
          <w:sz w:val="20"/>
          <w:szCs w:val="20"/>
        </w:rPr>
        <w:t>.</w:t>
      </w:r>
    </w:p>
    <w:p w14:paraId="3180C9F1" w14:textId="77777777" w:rsidR="006E4B3F" w:rsidRDefault="006E4B3F" w:rsidP="006E4B3F">
      <w:pPr>
        <w:jc w:val="both"/>
        <w:rPr>
          <w:rFonts w:asciiTheme="majorBidi" w:hAnsiTheme="majorBidi" w:cstheme="majorBidi"/>
          <w:sz w:val="20"/>
          <w:szCs w:val="20"/>
        </w:rPr>
      </w:pPr>
      <w:bookmarkStart w:id="31" w:name="w12"/>
      <w:bookmarkEnd w:id="30"/>
      <w:proofErr w:type="spellStart"/>
      <w:r w:rsidRPr="00BC4BD7">
        <w:rPr>
          <w:rFonts w:asciiTheme="majorBidi" w:hAnsiTheme="majorBidi" w:cstheme="majorBidi"/>
          <w:sz w:val="20"/>
          <w:szCs w:val="20"/>
        </w:rPr>
        <w:t>Dyreng</w:t>
      </w:r>
      <w:proofErr w:type="spellEnd"/>
      <w:r w:rsidRPr="00BC4BD7">
        <w:rPr>
          <w:rFonts w:asciiTheme="majorBidi" w:hAnsiTheme="majorBidi" w:cstheme="majorBidi"/>
          <w:sz w:val="20"/>
          <w:szCs w:val="20"/>
        </w:rPr>
        <w:t xml:space="preserve">, S D., Hanlon, M and E L. Maydew (2019). When Does Tax Avoidance Result in Tax </w:t>
      </w:r>
      <w:proofErr w:type="gramStart"/>
      <w:r w:rsidRPr="00BC4BD7">
        <w:rPr>
          <w:rFonts w:asciiTheme="majorBidi" w:hAnsiTheme="majorBidi" w:cstheme="majorBidi"/>
          <w:sz w:val="20"/>
          <w:szCs w:val="20"/>
        </w:rPr>
        <w:t>Uncertainty?.</w:t>
      </w:r>
      <w:proofErr w:type="gramEnd"/>
      <w:r w:rsidRPr="00BC4BD7">
        <w:rPr>
          <w:rFonts w:asciiTheme="majorBidi" w:hAnsiTheme="majorBidi" w:cstheme="majorBidi"/>
          <w:sz w:val="20"/>
          <w:szCs w:val="20"/>
        </w:rPr>
        <w:t xml:space="preserve"> The Accounting Review, Vol. 94, No. 2, pp. 179-203.</w:t>
      </w:r>
      <w:r>
        <w:rPr>
          <w:rFonts w:asciiTheme="majorBidi" w:hAnsiTheme="majorBidi" w:cstheme="majorBidi"/>
          <w:sz w:val="20"/>
          <w:szCs w:val="20"/>
        </w:rPr>
        <w:t xml:space="preserve"> </w:t>
      </w:r>
      <w:hyperlink r:id="rId38" w:history="1">
        <w:r w:rsidRPr="00E953A6">
          <w:rPr>
            <w:rStyle w:val="Hyperlink"/>
            <w:rFonts w:asciiTheme="majorBidi" w:hAnsiTheme="majorBidi" w:cstheme="majorBidi"/>
            <w:sz w:val="20"/>
            <w:szCs w:val="20"/>
          </w:rPr>
          <w:t>https://doi.org/10.2308/accr-52198</w:t>
        </w:r>
      </w:hyperlink>
      <w:r>
        <w:rPr>
          <w:rFonts w:asciiTheme="majorBidi" w:hAnsiTheme="majorBidi" w:cstheme="majorBidi"/>
          <w:sz w:val="20"/>
          <w:szCs w:val="20"/>
        </w:rPr>
        <w:t xml:space="preserve">. </w:t>
      </w:r>
    </w:p>
    <w:bookmarkEnd w:id="31"/>
    <w:p w14:paraId="34CFF75F" w14:textId="77777777" w:rsidR="006E4B3F" w:rsidRDefault="006E4B3F" w:rsidP="006E4B3F">
      <w:pPr>
        <w:jc w:val="both"/>
        <w:rPr>
          <w:rFonts w:asciiTheme="majorBidi" w:hAnsiTheme="majorBidi" w:cstheme="majorBidi"/>
          <w:sz w:val="20"/>
          <w:szCs w:val="20"/>
        </w:rPr>
      </w:pPr>
      <w:proofErr w:type="spellStart"/>
      <w:r w:rsidRPr="0030035C">
        <w:rPr>
          <w:rFonts w:asciiTheme="majorBidi" w:hAnsiTheme="majorBidi" w:cstheme="majorBidi"/>
          <w:sz w:val="20"/>
          <w:szCs w:val="20"/>
        </w:rPr>
        <w:t>Dyre</w:t>
      </w:r>
      <w:bookmarkStart w:id="32" w:name="w80"/>
      <w:bookmarkEnd w:id="32"/>
      <w:r w:rsidRPr="0030035C">
        <w:rPr>
          <w:rFonts w:asciiTheme="majorBidi" w:hAnsiTheme="majorBidi" w:cstheme="majorBidi"/>
          <w:sz w:val="20"/>
          <w:szCs w:val="20"/>
        </w:rPr>
        <w:t>ng</w:t>
      </w:r>
      <w:proofErr w:type="spellEnd"/>
      <w:r w:rsidRPr="0030035C">
        <w:rPr>
          <w:rFonts w:asciiTheme="majorBidi" w:hAnsiTheme="majorBidi" w:cstheme="majorBidi"/>
          <w:sz w:val="20"/>
          <w:szCs w:val="20"/>
        </w:rPr>
        <w:t>, S. D., Hanlon, M. and Maydew, E.L. (2008). Long</w:t>
      </w:r>
      <w:r w:rsidRPr="0030035C">
        <w:rPr>
          <w:rFonts w:ascii="Cambria Math" w:hAnsi="Cambria Math" w:cs="Cambria Math"/>
          <w:sz w:val="20"/>
          <w:szCs w:val="20"/>
        </w:rPr>
        <w:t>‐</w:t>
      </w:r>
      <w:r w:rsidRPr="0030035C">
        <w:rPr>
          <w:rFonts w:asciiTheme="majorBidi" w:hAnsiTheme="majorBidi" w:cstheme="majorBidi"/>
          <w:sz w:val="20"/>
          <w:szCs w:val="20"/>
        </w:rPr>
        <w:t xml:space="preserve">run corporate tax avoidance. Accounting Review, 83(1), 61-82. </w:t>
      </w:r>
      <w:hyperlink r:id="rId39" w:history="1">
        <w:r w:rsidRPr="00AE3F58">
          <w:rPr>
            <w:rStyle w:val="Hyperlink"/>
            <w:rFonts w:asciiTheme="majorBidi" w:hAnsiTheme="majorBidi" w:cstheme="majorBidi"/>
            <w:sz w:val="20"/>
            <w:szCs w:val="20"/>
          </w:rPr>
          <w:t>https://doi.org/10.2308/accr.2008.83.1.61</w:t>
        </w:r>
      </w:hyperlink>
      <w:r w:rsidRPr="0030035C">
        <w:rPr>
          <w:rFonts w:asciiTheme="majorBidi" w:hAnsiTheme="majorBidi" w:cstheme="majorBidi"/>
          <w:sz w:val="20"/>
          <w:szCs w:val="20"/>
        </w:rPr>
        <w:t>.</w:t>
      </w:r>
    </w:p>
    <w:p w14:paraId="2951C2AB" w14:textId="77777777" w:rsidR="006E4B3F" w:rsidRDefault="006E4B3F" w:rsidP="006E4B3F">
      <w:pPr>
        <w:jc w:val="both"/>
        <w:rPr>
          <w:rFonts w:asciiTheme="majorBidi" w:hAnsiTheme="majorBidi" w:cstheme="majorBidi"/>
          <w:sz w:val="20"/>
          <w:szCs w:val="20"/>
        </w:rPr>
      </w:pPr>
      <w:bookmarkStart w:id="33" w:name="w13"/>
      <w:r w:rsidRPr="0089486E">
        <w:rPr>
          <w:rFonts w:asciiTheme="majorBidi" w:hAnsiTheme="majorBidi" w:cstheme="majorBidi"/>
          <w:sz w:val="20"/>
          <w:szCs w:val="20"/>
        </w:rPr>
        <w:lastRenderedPageBreak/>
        <w:t xml:space="preserve">Edwards, A. S., Schwab, C. M., &amp; </w:t>
      </w:r>
      <w:proofErr w:type="spellStart"/>
      <w:r w:rsidRPr="0089486E">
        <w:rPr>
          <w:rFonts w:asciiTheme="majorBidi" w:hAnsiTheme="majorBidi" w:cstheme="majorBidi"/>
          <w:sz w:val="20"/>
          <w:szCs w:val="20"/>
        </w:rPr>
        <w:t>Shevlin</w:t>
      </w:r>
      <w:proofErr w:type="spellEnd"/>
      <w:r w:rsidRPr="0089486E">
        <w:rPr>
          <w:rFonts w:asciiTheme="majorBidi" w:hAnsiTheme="majorBidi" w:cstheme="majorBidi"/>
          <w:sz w:val="20"/>
          <w:szCs w:val="20"/>
        </w:rPr>
        <w:t>, T. (2015). Financial Constraints and Cash Tax Savings. Accounting Review, 91(3), 859-881.</w:t>
      </w:r>
      <w:r>
        <w:rPr>
          <w:rFonts w:asciiTheme="majorBidi" w:hAnsiTheme="majorBidi" w:cstheme="majorBidi"/>
          <w:sz w:val="20"/>
          <w:szCs w:val="20"/>
        </w:rPr>
        <w:t xml:space="preserve"> </w:t>
      </w:r>
      <w:hyperlink r:id="rId40" w:history="1">
        <w:r w:rsidRPr="00E953A6">
          <w:rPr>
            <w:rStyle w:val="Hyperlink"/>
            <w:rFonts w:asciiTheme="majorBidi" w:hAnsiTheme="majorBidi" w:cstheme="majorBidi"/>
            <w:sz w:val="20"/>
            <w:szCs w:val="20"/>
          </w:rPr>
          <w:t>https://doi.org/10.2308/accr-51282</w:t>
        </w:r>
      </w:hyperlink>
      <w:r>
        <w:rPr>
          <w:rFonts w:asciiTheme="majorBidi" w:hAnsiTheme="majorBidi" w:cstheme="majorBidi"/>
          <w:sz w:val="20"/>
          <w:szCs w:val="20"/>
        </w:rPr>
        <w:t xml:space="preserve">. </w:t>
      </w:r>
    </w:p>
    <w:p w14:paraId="40A5D4B7" w14:textId="77777777" w:rsidR="006E4B3F" w:rsidRPr="00BC4BD7" w:rsidRDefault="006E4B3F" w:rsidP="006E4B3F">
      <w:pPr>
        <w:jc w:val="both"/>
        <w:rPr>
          <w:rFonts w:asciiTheme="majorBidi" w:hAnsiTheme="majorBidi" w:cstheme="majorBidi"/>
          <w:sz w:val="20"/>
          <w:szCs w:val="20"/>
          <w:rtl/>
          <w:lang w:bidi="fa-IR"/>
        </w:rPr>
      </w:pPr>
      <w:bookmarkStart w:id="34" w:name="w59"/>
      <w:bookmarkEnd w:id="33"/>
      <w:proofErr w:type="spellStart"/>
      <w:r w:rsidRPr="00871873">
        <w:rPr>
          <w:rFonts w:asciiTheme="majorBidi" w:hAnsiTheme="majorBidi" w:cstheme="majorBidi"/>
          <w:sz w:val="20"/>
          <w:szCs w:val="20"/>
        </w:rPr>
        <w:t>Fakhroddin</w:t>
      </w:r>
      <w:proofErr w:type="spellEnd"/>
      <w:r w:rsidRPr="00871873">
        <w:rPr>
          <w:rFonts w:asciiTheme="majorBidi" w:hAnsiTheme="majorBidi" w:cstheme="majorBidi"/>
          <w:sz w:val="20"/>
          <w:szCs w:val="20"/>
        </w:rPr>
        <w:t>, M., Norman M.S., and Ahmed, K. (2018). Audit Firm Ranking, Audit Quality and Audit Fees: Examining Conflicting Price Discr</w:t>
      </w:r>
      <w:r>
        <w:rPr>
          <w:rFonts w:asciiTheme="majorBidi" w:hAnsiTheme="majorBidi" w:cstheme="majorBidi"/>
          <w:sz w:val="20"/>
          <w:szCs w:val="20"/>
        </w:rPr>
        <w:t>imination Views.</w:t>
      </w:r>
      <w:r w:rsidRPr="00871873">
        <w:rPr>
          <w:rFonts w:asciiTheme="majorBidi" w:hAnsiTheme="majorBidi" w:cstheme="majorBidi"/>
          <w:sz w:val="20"/>
          <w:szCs w:val="20"/>
        </w:rPr>
        <w:t xml:space="preserve"> The International Journal of </w:t>
      </w:r>
      <w:proofErr w:type="spellStart"/>
      <w:proofErr w:type="gramStart"/>
      <w:r w:rsidRPr="00871873">
        <w:rPr>
          <w:rFonts w:asciiTheme="majorBidi" w:hAnsiTheme="majorBidi" w:cstheme="majorBidi"/>
          <w:sz w:val="20"/>
          <w:szCs w:val="20"/>
        </w:rPr>
        <w:t>Accounting,Volume</w:t>
      </w:r>
      <w:proofErr w:type="spellEnd"/>
      <w:proofErr w:type="gramEnd"/>
      <w:r w:rsidRPr="00871873">
        <w:rPr>
          <w:rFonts w:asciiTheme="majorBidi" w:hAnsiTheme="majorBidi" w:cstheme="majorBidi"/>
          <w:sz w:val="20"/>
          <w:szCs w:val="20"/>
        </w:rPr>
        <w:t xml:space="preserve"> 53, Issue 4, pp. 295-313.</w:t>
      </w:r>
      <w:r>
        <w:rPr>
          <w:rFonts w:asciiTheme="majorBidi" w:hAnsiTheme="majorBidi" w:cstheme="majorBidi"/>
          <w:sz w:val="20"/>
          <w:szCs w:val="20"/>
          <w:lang w:bidi="fa-IR"/>
        </w:rPr>
        <w:t xml:space="preserve"> </w:t>
      </w:r>
      <w:hyperlink r:id="rId41" w:history="1">
        <w:r w:rsidRPr="00E953A6">
          <w:rPr>
            <w:rStyle w:val="Hyperlink"/>
            <w:rFonts w:asciiTheme="majorBidi" w:hAnsiTheme="majorBidi" w:cstheme="majorBidi"/>
            <w:sz w:val="20"/>
            <w:szCs w:val="20"/>
            <w:lang w:bidi="fa-IR"/>
          </w:rPr>
          <w:t>https://doi.org/10.1016/j.intacc.2018.11.003</w:t>
        </w:r>
      </w:hyperlink>
      <w:r>
        <w:rPr>
          <w:rFonts w:asciiTheme="majorBidi" w:hAnsiTheme="majorBidi" w:cstheme="majorBidi"/>
          <w:sz w:val="20"/>
          <w:szCs w:val="20"/>
          <w:lang w:bidi="fa-IR"/>
        </w:rPr>
        <w:t xml:space="preserve">. </w:t>
      </w:r>
    </w:p>
    <w:bookmarkEnd w:id="34"/>
    <w:p w14:paraId="34DE4BF8" w14:textId="77777777" w:rsidR="006E4B3F" w:rsidRDefault="006E4B3F" w:rsidP="006E4B3F">
      <w:pPr>
        <w:jc w:val="both"/>
        <w:rPr>
          <w:rFonts w:asciiTheme="majorBidi" w:hAnsiTheme="majorBidi" w:cstheme="majorBidi"/>
          <w:sz w:val="20"/>
          <w:szCs w:val="20"/>
        </w:rPr>
      </w:pPr>
      <w:r w:rsidRPr="002C59CC">
        <w:rPr>
          <w:rFonts w:asciiTheme="majorBidi" w:hAnsiTheme="majorBidi" w:cstheme="majorBidi"/>
          <w:sz w:val="20"/>
          <w:szCs w:val="20"/>
        </w:rPr>
        <w:t xml:space="preserve">Feng, Ch., Kevin, L., Wally, S., and M. </w:t>
      </w:r>
      <w:proofErr w:type="gramStart"/>
      <w:r w:rsidRPr="002C59CC">
        <w:rPr>
          <w:rFonts w:asciiTheme="majorBidi" w:hAnsiTheme="majorBidi" w:cstheme="majorBidi"/>
          <w:sz w:val="20"/>
          <w:szCs w:val="20"/>
        </w:rPr>
        <w:t>Ye.(</w:t>
      </w:r>
      <w:proofErr w:type="gramEnd"/>
      <w:r w:rsidRPr="002C59CC">
        <w:rPr>
          <w:rFonts w:asciiTheme="majorBidi" w:hAnsiTheme="majorBidi" w:cstheme="majorBidi"/>
          <w:sz w:val="20"/>
          <w:szCs w:val="20"/>
        </w:rPr>
        <w:t>2016). Auditor Conservatism and Banks› Measurement Uncertainty during the Financial Crisis. International Journal of Auditing.20: 52-65.</w:t>
      </w:r>
      <w:r w:rsidRPr="005B1262">
        <w:rPr>
          <w:rFonts w:asciiTheme="majorBidi" w:hAnsiTheme="majorBidi" w:cstheme="majorBidi"/>
          <w:sz w:val="20"/>
          <w:szCs w:val="20"/>
        </w:rPr>
        <w:t xml:space="preserve"> </w:t>
      </w:r>
      <w:hyperlink r:id="rId42" w:history="1">
        <w:r w:rsidRPr="00E953A6">
          <w:rPr>
            <w:rStyle w:val="Hyperlink"/>
            <w:rFonts w:asciiTheme="majorBidi" w:hAnsiTheme="majorBidi" w:cstheme="majorBidi"/>
            <w:sz w:val="20"/>
            <w:szCs w:val="20"/>
          </w:rPr>
          <w:t>https://doi.org/10.1111/ijau.12055</w:t>
        </w:r>
      </w:hyperlink>
      <w:r>
        <w:rPr>
          <w:rFonts w:asciiTheme="majorBidi" w:hAnsiTheme="majorBidi" w:cstheme="majorBidi"/>
          <w:sz w:val="20"/>
          <w:szCs w:val="20"/>
        </w:rPr>
        <w:t xml:space="preserve">. </w:t>
      </w:r>
    </w:p>
    <w:p w14:paraId="4F153A9D" w14:textId="77777777" w:rsidR="006E4B3F" w:rsidRPr="00BC4BD7" w:rsidRDefault="006E4B3F" w:rsidP="006E4B3F">
      <w:pPr>
        <w:jc w:val="both"/>
        <w:rPr>
          <w:rFonts w:asciiTheme="majorBidi" w:hAnsiTheme="majorBidi" w:cstheme="majorBidi"/>
          <w:sz w:val="20"/>
          <w:szCs w:val="20"/>
          <w:rtl/>
        </w:rPr>
      </w:pPr>
      <w:bookmarkStart w:id="35" w:name="w51"/>
      <w:proofErr w:type="spellStart"/>
      <w:r w:rsidRPr="00D643B3">
        <w:rPr>
          <w:rFonts w:asciiTheme="majorBidi" w:hAnsiTheme="majorBidi" w:cstheme="majorBidi"/>
          <w:sz w:val="20"/>
          <w:szCs w:val="20"/>
        </w:rPr>
        <w:t>Forker</w:t>
      </w:r>
      <w:proofErr w:type="spellEnd"/>
      <w:r w:rsidRPr="00D643B3">
        <w:rPr>
          <w:rFonts w:asciiTheme="majorBidi" w:hAnsiTheme="majorBidi" w:cstheme="majorBidi"/>
          <w:sz w:val="20"/>
          <w:szCs w:val="20"/>
        </w:rPr>
        <w:t>, J.J. (1992). Corporate governance and disclosure quality. Accounting and Business Research, Vol. 22 No. 86, pp. 111-24</w:t>
      </w:r>
      <w:r>
        <w:rPr>
          <w:rFonts w:asciiTheme="majorBidi" w:hAnsiTheme="majorBidi" w:cstheme="majorBidi"/>
          <w:sz w:val="20"/>
          <w:szCs w:val="20"/>
        </w:rPr>
        <w:t xml:space="preserve">. </w:t>
      </w:r>
      <w:hyperlink r:id="rId43" w:history="1">
        <w:r w:rsidRPr="00E953A6">
          <w:rPr>
            <w:rStyle w:val="Hyperlink"/>
            <w:rFonts w:asciiTheme="majorBidi" w:hAnsiTheme="majorBidi" w:cstheme="majorBidi"/>
            <w:sz w:val="20"/>
            <w:szCs w:val="20"/>
          </w:rPr>
          <w:t>https://doi.org/10.1080/00014788.1992.9729426</w:t>
        </w:r>
      </w:hyperlink>
      <w:r>
        <w:rPr>
          <w:rFonts w:asciiTheme="majorBidi" w:hAnsiTheme="majorBidi" w:cstheme="majorBidi"/>
          <w:sz w:val="20"/>
          <w:szCs w:val="20"/>
        </w:rPr>
        <w:t xml:space="preserve">. </w:t>
      </w:r>
    </w:p>
    <w:bookmarkEnd w:id="35"/>
    <w:p w14:paraId="7C768AD9" w14:textId="77777777" w:rsidR="006E4B3F" w:rsidRDefault="006E4B3F" w:rsidP="006E4B3F">
      <w:pPr>
        <w:jc w:val="both"/>
        <w:rPr>
          <w:rFonts w:asciiTheme="majorBidi" w:hAnsiTheme="majorBidi" w:cstheme="majorBidi"/>
          <w:sz w:val="20"/>
          <w:szCs w:val="20"/>
        </w:rPr>
      </w:pPr>
      <w:proofErr w:type="spellStart"/>
      <w:r w:rsidRPr="00BC4BD7">
        <w:rPr>
          <w:rFonts w:asciiTheme="majorBidi" w:hAnsiTheme="majorBidi" w:cstheme="majorBidi"/>
          <w:sz w:val="20"/>
          <w:szCs w:val="20"/>
        </w:rPr>
        <w:t>Gallemore</w:t>
      </w:r>
      <w:proofErr w:type="spellEnd"/>
      <w:r w:rsidRPr="00BC4BD7">
        <w:rPr>
          <w:rFonts w:asciiTheme="majorBidi" w:hAnsiTheme="majorBidi" w:cstheme="majorBidi"/>
          <w:sz w:val="20"/>
          <w:szCs w:val="20"/>
        </w:rPr>
        <w:t xml:space="preserve">, J., </w:t>
      </w:r>
      <w:proofErr w:type="spellStart"/>
      <w:r w:rsidRPr="00BC4BD7">
        <w:rPr>
          <w:rFonts w:asciiTheme="majorBidi" w:hAnsiTheme="majorBidi" w:cstheme="majorBidi"/>
          <w:sz w:val="20"/>
          <w:szCs w:val="20"/>
        </w:rPr>
        <w:t>Labro</w:t>
      </w:r>
      <w:proofErr w:type="spellEnd"/>
      <w:r w:rsidRPr="00BC4BD7">
        <w:rPr>
          <w:rFonts w:asciiTheme="majorBidi" w:hAnsiTheme="majorBidi" w:cstheme="majorBidi"/>
          <w:sz w:val="20"/>
          <w:szCs w:val="20"/>
        </w:rPr>
        <w:t>, E. (2015). The Importance of the Internal Information Environment for Tax Avoidance. Journal of Accounting and Economics, Vol. 60, No. 1, Pp. 149-167.</w:t>
      </w:r>
      <w:r w:rsidRPr="00B0417A">
        <w:t xml:space="preserve"> </w:t>
      </w:r>
      <w:hyperlink r:id="rId44" w:history="1">
        <w:r w:rsidRPr="00E953A6">
          <w:rPr>
            <w:rStyle w:val="Hyperlink"/>
            <w:rFonts w:asciiTheme="majorBidi" w:hAnsiTheme="majorBidi" w:cstheme="majorBidi"/>
            <w:sz w:val="20"/>
            <w:szCs w:val="20"/>
          </w:rPr>
          <w:t>https://doi.org/10.1016/j.jacceco.2014.09.005</w:t>
        </w:r>
      </w:hyperlink>
      <w:r>
        <w:rPr>
          <w:rFonts w:asciiTheme="majorBidi" w:hAnsiTheme="majorBidi" w:cstheme="majorBidi"/>
          <w:sz w:val="20"/>
          <w:szCs w:val="20"/>
        </w:rPr>
        <w:t xml:space="preserve">. </w:t>
      </w:r>
    </w:p>
    <w:p w14:paraId="6AB9A3A9" w14:textId="77777777" w:rsidR="006E4B3F" w:rsidRPr="000638B6" w:rsidRDefault="006E4B3F" w:rsidP="006E4B3F">
      <w:pPr>
        <w:jc w:val="both"/>
        <w:rPr>
          <w:rFonts w:asciiTheme="majorBidi" w:hAnsiTheme="majorBidi" w:cstheme="majorBidi"/>
          <w:sz w:val="20"/>
          <w:szCs w:val="20"/>
          <w:rtl/>
        </w:rPr>
      </w:pPr>
      <w:bookmarkStart w:id="36" w:name="w50"/>
      <w:proofErr w:type="spellStart"/>
      <w:r w:rsidRPr="007A2439">
        <w:rPr>
          <w:rFonts w:asciiTheme="majorBidi" w:hAnsiTheme="majorBidi" w:cstheme="majorBidi"/>
          <w:sz w:val="20"/>
          <w:szCs w:val="20"/>
        </w:rPr>
        <w:t>Garas</w:t>
      </w:r>
      <w:proofErr w:type="spellEnd"/>
      <w:r w:rsidRPr="007A2439">
        <w:rPr>
          <w:rFonts w:asciiTheme="majorBidi" w:hAnsiTheme="majorBidi" w:cstheme="majorBidi"/>
          <w:sz w:val="20"/>
          <w:szCs w:val="20"/>
        </w:rPr>
        <w:t xml:space="preserve">, S. and </w:t>
      </w:r>
      <w:proofErr w:type="spellStart"/>
      <w:r w:rsidRPr="007A2439">
        <w:rPr>
          <w:rFonts w:asciiTheme="majorBidi" w:hAnsiTheme="majorBidi" w:cstheme="majorBidi"/>
          <w:sz w:val="20"/>
          <w:szCs w:val="20"/>
        </w:rPr>
        <w:t>ElMassah</w:t>
      </w:r>
      <w:proofErr w:type="spellEnd"/>
      <w:r w:rsidRPr="007A2439">
        <w:rPr>
          <w:rFonts w:asciiTheme="majorBidi" w:hAnsiTheme="majorBidi" w:cstheme="majorBidi"/>
          <w:sz w:val="20"/>
          <w:szCs w:val="20"/>
        </w:rPr>
        <w:t>, S. (2018). Corporate governance and corporate social responsibility disclosures: The case of GCC countries. critical perspectives on international business, Vol. 14 No. 1, pp. 2-26</w:t>
      </w:r>
      <w:r>
        <w:rPr>
          <w:rFonts w:asciiTheme="majorBidi" w:hAnsiTheme="majorBidi" w:cstheme="majorBidi"/>
          <w:sz w:val="20"/>
          <w:szCs w:val="20"/>
        </w:rPr>
        <w:t xml:space="preserve">. </w:t>
      </w:r>
      <w:hyperlink r:id="rId45" w:history="1">
        <w:r w:rsidRPr="00E953A6">
          <w:rPr>
            <w:rStyle w:val="Hyperlink"/>
            <w:rFonts w:asciiTheme="majorBidi" w:hAnsiTheme="majorBidi" w:cstheme="majorBidi"/>
            <w:sz w:val="20"/>
            <w:szCs w:val="20"/>
          </w:rPr>
          <w:t>https://doi.org/10.1108/cpoib-10-2016-0042</w:t>
        </w:r>
      </w:hyperlink>
      <w:r>
        <w:rPr>
          <w:rFonts w:asciiTheme="majorBidi" w:hAnsiTheme="majorBidi" w:cstheme="majorBidi"/>
          <w:sz w:val="20"/>
          <w:szCs w:val="20"/>
        </w:rPr>
        <w:t xml:space="preserve">. </w:t>
      </w:r>
    </w:p>
    <w:bookmarkEnd w:id="36"/>
    <w:p w14:paraId="6EC87BE9" w14:textId="77777777" w:rsidR="006E4B3F" w:rsidRPr="00BC4BD7" w:rsidRDefault="006E4B3F" w:rsidP="006E4B3F">
      <w:pPr>
        <w:jc w:val="both"/>
        <w:rPr>
          <w:rFonts w:asciiTheme="majorBidi" w:hAnsiTheme="majorBidi" w:cstheme="majorBidi"/>
          <w:sz w:val="20"/>
          <w:szCs w:val="20"/>
          <w:rtl/>
        </w:rPr>
      </w:pPr>
      <w:r w:rsidRPr="002C59CC">
        <w:rPr>
          <w:rFonts w:asciiTheme="majorBidi" w:hAnsiTheme="majorBidi" w:cstheme="majorBidi"/>
          <w:sz w:val="20"/>
          <w:szCs w:val="20"/>
        </w:rPr>
        <w:t xml:space="preserve">Geiger, M. </w:t>
      </w:r>
      <w:proofErr w:type="gramStart"/>
      <w:r w:rsidRPr="002C59CC">
        <w:rPr>
          <w:rFonts w:asciiTheme="majorBidi" w:hAnsiTheme="majorBidi" w:cstheme="majorBidi"/>
          <w:sz w:val="20"/>
          <w:szCs w:val="20"/>
        </w:rPr>
        <w:t>A ,</w:t>
      </w:r>
      <w:proofErr w:type="gramEnd"/>
      <w:r w:rsidRPr="002C59CC">
        <w:rPr>
          <w:rFonts w:asciiTheme="majorBidi" w:hAnsiTheme="majorBidi" w:cstheme="majorBidi"/>
          <w:sz w:val="20"/>
          <w:szCs w:val="20"/>
        </w:rPr>
        <w:t xml:space="preserve"> </w:t>
      </w:r>
      <w:proofErr w:type="spellStart"/>
      <w:r w:rsidRPr="002C59CC">
        <w:rPr>
          <w:rFonts w:asciiTheme="majorBidi" w:hAnsiTheme="majorBidi" w:cstheme="majorBidi"/>
          <w:sz w:val="20"/>
          <w:szCs w:val="20"/>
        </w:rPr>
        <w:t>Raghunandan</w:t>
      </w:r>
      <w:proofErr w:type="spellEnd"/>
      <w:r w:rsidRPr="002C59CC">
        <w:rPr>
          <w:rFonts w:asciiTheme="majorBidi" w:hAnsiTheme="majorBidi" w:cstheme="majorBidi"/>
          <w:sz w:val="20"/>
          <w:szCs w:val="20"/>
        </w:rPr>
        <w:t xml:space="preserve">, K., and V. R. </w:t>
      </w:r>
      <w:proofErr w:type="spellStart"/>
      <w:r w:rsidRPr="002C59CC">
        <w:rPr>
          <w:rFonts w:asciiTheme="majorBidi" w:hAnsiTheme="majorBidi" w:cstheme="majorBidi"/>
          <w:sz w:val="20"/>
          <w:szCs w:val="20"/>
        </w:rPr>
        <w:t>Dasaratha</w:t>
      </w:r>
      <w:proofErr w:type="spellEnd"/>
      <w:r w:rsidRPr="002C59CC">
        <w:rPr>
          <w:rFonts w:asciiTheme="majorBidi" w:hAnsiTheme="majorBidi" w:cstheme="majorBidi"/>
          <w:sz w:val="20"/>
          <w:szCs w:val="20"/>
        </w:rPr>
        <w:t xml:space="preserve"> (2006). Auditor </w:t>
      </w:r>
      <w:proofErr w:type="spellStart"/>
      <w:r w:rsidRPr="002C59CC">
        <w:rPr>
          <w:rFonts w:asciiTheme="majorBidi" w:hAnsiTheme="majorBidi" w:cstheme="majorBidi"/>
          <w:sz w:val="20"/>
          <w:szCs w:val="20"/>
        </w:rPr>
        <w:t>DecisionMaking</w:t>
      </w:r>
      <w:proofErr w:type="spellEnd"/>
      <w:r w:rsidRPr="002C59CC">
        <w:rPr>
          <w:rFonts w:asciiTheme="majorBidi" w:hAnsiTheme="majorBidi" w:cstheme="majorBidi"/>
          <w:sz w:val="20"/>
          <w:szCs w:val="20"/>
        </w:rPr>
        <w:t xml:space="preserve"> in Different Litigation Environments: The Private Securities Litigation Reform Act, Au</w:t>
      </w:r>
      <w:r>
        <w:rPr>
          <w:rFonts w:asciiTheme="majorBidi" w:hAnsiTheme="majorBidi" w:cstheme="majorBidi"/>
          <w:sz w:val="20"/>
          <w:szCs w:val="20"/>
        </w:rPr>
        <w:t>dit Reports and Audit Firm Size.</w:t>
      </w:r>
      <w:r w:rsidRPr="002C59CC">
        <w:rPr>
          <w:rFonts w:asciiTheme="majorBidi" w:hAnsiTheme="majorBidi" w:cstheme="majorBidi"/>
          <w:sz w:val="20"/>
          <w:szCs w:val="20"/>
        </w:rPr>
        <w:t xml:space="preserve"> Journal of Accounting and public Policy, 25, pp. 332-353.</w:t>
      </w:r>
      <w:r>
        <w:rPr>
          <w:rFonts w:asciiTheme="majorBidi" w:hAnsiTheme="majorBidi" w:cstheme="majorBidi"/>
          <w:sz w:val="20"/>
          <w:szCs w:val="20"/>
        </w:rPr>
        <w:t xml:space="preserve"> </w:t>
      </w:r>
      <w:hyperlink r:id="rId46" w:history="1">
        <w:r w:rsidRPr="00E953A6">
          <w:rPr>
            <w:rStyle w:val="Hyperlink"/>
            <w:rFonts w:asciiTheme="majorBidi" w:hAnsiTheme="majorBidi" w:cstheme="majorBidi"/>
            <w:sz w:val="20"/>
            <w:szCs w:val="20"/>
          </w:rPr>
          <w:t>https://doi.org/10.1016/j.jaccpubpol.2006.03.005</w:t>
        </w:r>
      </w:hyperlink>
      <w:r>
        <w:rPr>
          <w:rFonts w:asciiTheme="majorBidi" w:hAnsiTheme="majorBidi" w:cstheme="majorBidi"/>
          <w:sz w:val="20"/>
          <w:szCs w:val="20"/>
        </w:rPr>
        <w:t xml:space="preserve">. </w:t>
      </w:r>
    </w:p>
    <w:p w14:paraId="1C467A9B" w14:textId="77777777" w:rsidR="006E4B3F" w:rsidRPr="00BC4BD7" w:rsidRDefault="006E4B3F" w:rsidP="006E4B3F">
      <w:pPr>
        <w:jc w:val="both"/>
        <w:rPr>
          <w:rFonts w:asciiTheme="majorBidi" w:hAnsiTheme="majorBidi" w:cstheme="majorBidi"/>
          <w:sz w:val="20"/>
          <w:szCs w:val="20"/>
          <w:rtl/>
        </w:rPr>
      </w:pPr>
      <w:bookmarkStart w:id="37" w:name="w66"/>
      <w:r w:rsidRPr="001670A0">
        <w:rPr>
          <w:rFonts w:asciiTheme="majorBidi" w:hAnsiTheme="majorBidi" w:cstheme="majorBidi"/>
          <w:sz w:val="20"/>
          <w:szCs w:val="20"/>
        </w:rPr>
        <w:t>Ghosh, D., &amp; Olsen, L. (2009). Environmental uncertainty and managers’ use of discretionary accruals. Accounting, Organizations and Society, 34(2), 188–205.</w:t>
      </w:r>
      <w:r>
        <w:rPr>
          <w:rFonts w:asciiTheme="majorBidi" w:hAnsiTheme="majorBidi" w:cstheme="majorBidi"/>
          <w:sz w:val="20"/>
          <w:szCs w:val="20"/>
        </w:rPr>
        <w:t xml:space="preserve"> </w:t>
      </w:r>
      <w:hyperlink r:id="rId47" w:history="1">
        <w:r w:rsidRPr="00E953A6">
          <w:rPr>
            <w:rStyle w:val="Hyperlink"/>
            <w:rFonts w:asciiTheme="majorBidi" w:hAnsiTheme="majorBidi" w:cstheme="majorBidi"/>
            <w:sz w:val="20"/>
            <w:szCs w:val="20"/>
          </w:rPr>
          <w:t>https://doi.org/10.1016/j.aos.2008.07.001</w:t>
        </w:r>
      </w:hyperlink>
      <w:r>
        <w:rPr>
          <w:rFonts w:asciiTheme="majorBidi" w:hAnsiTheme="majorBidi" w:cstheme="majorBidi"/>
          <w:sz w:val="20"/>
          <w:szCs w:val="20"/>
        </w:rPr>
        <w:t xml:space="preserve">. </w:t>
      </w:r>
    </w:p>
    <w:p w14:paraId="56DA4195" w14:textId="77777777" w:rsidR="006E4B3F" w:rsidRDefault="006E4B3F" w:rsidP="006E4B3F">
      <w:pPr>
        <w:jc w:val="both"/>
        <w:rPr>
          <w:rFonts w:asciiTheme="majorBidi" w:hAnsiTheme="majorBidi" w:cstheme="majorBidi"/>
          <w:sz w:val="20"/>
          <w:szCs w:val="20"/>
        </w:rPr>
      </w:pPr>
      <w:bookmarkStart w:id="38" w:name="w29"/>
      <w:bookmarkEnd w:id="37"/>
      <w:r w:rsidRPr="00C52529">
        <w:rPr>
          <w:rFonts w:asciiTheme="majorBidi" w:hAnsiTheme="majorBidi" w:cstheme="majorBidi"/>
          <w:sz w:val="20"/>
          <w:szCs w:val="20"/>
        </w:rPr>
        <w:t xml:space="preserve">Gompers, P.A., Ishii, J.L., and </w:t>
      </w:r>
      <w:proofErr w:type="spellStart"/>
      <w:r w:rsidRPr="00C52529">
        <w:rPr>
          <w:rFonts w:asciiTheme="majorBidi" w:hAnsiTheme="majorBidi" w:cstheme="majorBidi"/>
          <w:sz w:val="20"/>
          <w:szCs w:val="20"/>
        </w:rPr>
        <w:t>Metrick</w:t>
      </w:r>
      <w:proofErr w:type="spellEnd"/>
      <w:r w:rsidRPr="00C52529">
        <w:rPr>
          <w:rFonts w:asciiTheme="majorBidi" w:hAnsiTheme="majorBidi" w:cstheme="majorBidi"/>
          <w:sz w:val="20"/>
          <w:szCs w:val="20"/>
        </w:rPr>
        <w:t>, A. (2003). Corporate governance and equity prices. Quarterly Journal of Economics</w:t>
      </w:r>
      <w:r>
        <w:rPr>
          <w:rFonts w:asciiTheme="majorBidi" w:hAnsiTheme="majorBidi" w:cstheme="majorBidi"/>
          <w:sz w:val="20"/>
          <w:szCs w:val="20"/>
        </w:rPr>
        <w:t>,</w:t>
      </w:r>
      <w:r w:rsidRPr="00C52529">
        <w:rPr>
          <w:rFonts w:asciiTheme="majorBidi" w:hAnsiTheme="majorBidi" w:cstheme="majorBidi"/>
          <w:sz w:val="20"/>
          <w:szCs w:val="20"/>
        </w:rPr>
        <w:t xml:space="preserve"> 118(1), 107-155.</w:t>
      </w:r>
      <w:r w:rsidRPr="000160B3">
        <w:t xml:space="preserve"> </w:t>
      </w:r>
      <w:hyperlink r:id="rId48" w:history="1">
        <w:r w:rsidRPr="00E953A6">
          <w:rPr>
            <w:rStyle w:val="Hyperlink"/>
            <w:rFonts w:asciiTheme="majorBidi" w:hAnsiTheme="majorBidi" w:cstheme="majorBidi"/>
            <w:sz w:val="20"/>
            <w:szCs w:val="20"/>
          </w:rPr>
          <w:t>https://doi.org/10.1162/00335530360535162</w:t>
        </w:r>
      </w:hyperlink>
      <w:r>
        <w:rPr>
          <w:rFonts w:asciiTheme="majorBidi" w:hAnsiTheme="majorBidi" w:cstheme="majorBidi"/>
          <w:sz w:val="20"/>
          <w:szCs w:val="20"/>
        </w:rPr>
        <w:t xml:space="preserve">. </w:t>
      </w:r>
    </w:p>
    <w:p w14:paraId="0E12D097" w14:textId="77777777" w:rsidR="006E4B3F" w:rsidRDefault="006E4B3F" w:rsidP="006E4B3F">
      <w:pPr>
        <w:jc w:val="both"/>
        <w:rPr>
          <w:rFonts w:asciiTheme="majorBidi" w:hAnsiTheme="majorBidi" w:cstheme="majorBidi"/>
          <w:sz w:val="20"/>
          <w:szCs w:val="20"/>
        </w:rPr>
      </w:pPr>
      <w:bookmarkStart w:id="39" w:name="w82"/>
      <w:bookmarkEnd w:id="38"/>
      <w:proofErr w:type="spellStart"/>
      <w:r w:rsidRPr="00750B7B">
        <w:rPr>
          <w:rFonts w:asciiTheme="majorBidi" w:hAnsiTheme="majorBidi" w:cstheme="majorBidi"/>
          <w:sz w:val="20"/>
          <w:szCs w:val="20"/>
        </w:rPr>
        <w:t>Gouveia</w:t>
      </w:r>
      <w:proofErr w:type="spellEnd"/>
      <w:r w:rsidRPr="00750B7B">
        <w:rPr>
          <w:rFonts w:asciiTheme="majorBidi" w:hAnsiTheme="majorBidi" w:cstheme="majorBidi"/>
          <w:sz w:val="20"/>
          <w:szCs w:val="20"/>
        </w:rPr>
        <w:t xml:space="preserve">, M. and Strauss, R. P. (1994). Effective federal individual income tax functions: An exploratory empirical analysis. National Tax Journal, 317{339. </w:t>
      </w:r>
      <w:hyperlink r:id="rId49" w:history="1">
        <w:r w:rsidRPr="00A46AB6">
          <w:rPr>
            <w:rStyle w:val="Hyperlink"/>
            <w:rFonts w:asciiTheme="majorBidi" w:hAnsiTheme="majorBidi" w:cstheme="majorBidi"/>
            <w:sz w:val="20"/>
            <w:szCs w:val="20"/>
          </w:rPr>
          <w:t>https://doi.org/10.1086/NTJ41789070</w:t>
        </w:r>
      </w:hyperlink>
      <w:r w:rsidRPr="00750B7B">
        <w:rPr>
          <w:rFonts w:asciiTheme="majorBidi" w:hAnsiTheme="majorBidi" w:cstheme="majorBidi"/>
          <w:sz w:val="20"/>
          <w:szCs w:val="20"/>
        </w:rPr>
        <w:t>.</w:t>
      </w:r>
    </w:p>
    <w:bookmarkEnd w:id="39"/>
    <w:p w14:paraId="02D8F412" w14:textId="77777777" w:rsidR="006E4B3F" w:rsidRPr="00BC4BD7" w:rsidRDefault="006E4B3F" w:rsidP="006E4B3F">
      <w:pPr>
        <w:jc w:val="both"/>
        <w:rPr>
          <w:rFonts w:asciiTheme="majorBidi" w:hAnsiTheme="majorBidi" w:cstheme="majorBidi"/>
          <w:sz w:val="20"/>
          <w:szCs w:val="20"/>
          <w:rtl/>
        </w:rPr>
      </w:pPr>
      <w:r w:rsidRPr="00BC4BD7">
        <w:rPr>
          <w:rFonts w:asciiTheme="majorBidi" w:hAnsiTheme="majorBidi" w:cstheme="majorBidi"/>
          <w:sz w:val="20"/>
          <w:szCs w:val="20"/>
        </w:rPr>
        <w:t xml:space="preserve">Graham, J., J. </w:t>
      </w:r>
      <w:proofErr w:type="spellStart"/>
      <w:r w:rsidRPr="00BC4BD7">
        <w:rPr>
          <w:rFonts w:asciiTheme="majorBidi" w:hAnsiTheme="majorBidi" w:cstheme="majorBidi"/>
          <w:sz w:val="20"/>
          <w:szCs w:val="20"/>
        </w:rPr>
        <w:t>Raedy</w:t>
      </w:r>
      <w:proofErr w:type="spellEnd"/>
      <w:r w:rsidRPr="00BC4BD7">
        <w:rPr>
          <w:rFonts w:asciiTheme="majorBidi" w:hAnsiTheme="majorBidi" w:cstheme="majorBidi"/>
          <w:sz w:val="20"/>
          <w:szCs w:val="20"/>
        </w:rPr>
        <w:t>, and D. Shackelford (2012). Research in accounting for income taxes. Journal of Accounting and Economics 53: 412-434.</w:t>
      </w:r>
      <w:r>
        <w:rPr>
          <w:rFonts w:asciiTheme="majorBidi" w:hAnsiTheme="majorBidi" w:cstheme="majorBidi"/>
          <w:sz w:val="20"/>
          <w:szCs w:val="20"/>
        </w:rPr>
        <w:t xml:space="preserve"> </w:t>
      </w:r>
      <w:hyperlink r:id="rId50" w:history="1">
        <w:r w:rsidRPr="00E953A6">
          <w:rPr>
            <w:rStyle w:val="Hyperlink"/>
            <w:rFonts w:asciiTheme="majorBidi" w:hAnsiTheme="majorBidi" w:cstheme="majorBidi"/>
            <w:sz w:val="20"/>
            <w:szCs w:val="20"/>
          </w:rPr>
          <w:t>https://doi.org/10.1016/j.jacceco.2011.11.006</w:t>
        </w:r>
      </w:hyperlink>
      <w:r>
        <w:rPr>
          <w:rFonts w:asciiTheme="majorBidi" w:hAnsiTheme="majorBidi" w:cstheme="majorBidi"/>
          <w:sz w:val="20"/>
          <w:szCs w:val="20"/>
        </w:rPr>
        <w:t xml:space="preserve">. </w:t>
      </w:r>
    </w:p>
    <w:p w14:paraId="58180764" w14:textId="77777777" w:rsidR="006E4B3F" w:rsidRDefault="006E4B3F" w:rsidP="006E4B3F">
      <w:pPr>
        <w:jc w:val="both"/>
        <w:rPr>
          <w:rFonts w:asciiTheme="majorBidi" w:hAnsiTheme="majorBidi" w:cstheme="majorBidi"/>
          <w:sz w:val="20"/>
          <w:szCs w:val="20"/>
        </w:rPr>
      </w:pPr>
      <w:bookmarkStart w:id="40" w:name="w5"/>
      <w:bookmarkStart w:id="41" w:name="w75"/>
      <w:r w:rsidRPr="00BC4BD7">
        <w:rPr>
          <w:rFonts w:asciiTheme="majorBidi" w:hAnsiTheme="majorBidi" w:cstheme="majorBidi"/>
          <w:sz w:val="20"/>
          <w:szCs w:val="20"/>
        </w:rPr>
        <w:t xml:space="preserve">Griffin, P A., </w:t>
      </w:r>
      <w:proofErr w:type="spellStart"/>
      <w:r w:rsidRPr="00BC4BD7">
        <w:rPr>
          <w:rFonts w:asciiTheme="majorBidi" w:hAnsiTheme="majorBidi" w:cstheme="majorBidi"/>
          <w:sz w:val="20"/>
          <w:szCs w:val="20"/>
        </w:rPr>
        <w:t>Lont</w:t>
      </w:r>
      <w:proofErr w:type="spellEnd"/>
      <w:r w:rsidRPr="00BC4BD7">
        <w:rPr>
          <w:rFonts w:asciiTheme="majorBidi" w:hAnsiTheme="majorBidi" w:cstheme="majorBidi"/>
          <w:sz w:val="20"/>
          <w:szCs w:val="20"/>
        </w:rPr>
        <w:t>, D H. and Y Sun (2010). Agency problems and audit fees: further tests of the free cash flow hypothesis. Accounting &amp; Finance, Volume50, Issue2, Pages 321-350.</w:t>
      </w:r>
      <w:r>
        <w:rPr>
          <w:rFonts w:asciiTheme="majorBidi" w:hAnsiTheme="majorBidi" w:cstheme="majorBidi"/>
          <w:sz w:val="20"/>
          <w:szCs w:val="20"/>
        </w:rPr>
        <w:t xml:space="preserve"> </w:t>
      </w:r>
      <w:hyperlink r:id="rId51" w:history="1">
        <w:r w:rsidRPr="00E953A6">
          <w:rPr>
            <w:rStyle w:val="Hyperlink"/>
            <w:rFonts w:asciiTheme="majorBidi" w:hAnsiTheme="majorBidi" w:cstheme="majorBidi"/>
            <w:sz w:val="20"/>
            <w:szCs w:val="20"/>
          </w:rPr>
          <w:t>https://doi.org/10.1111/j.1467-629X.2009.00327.x</w:t>
        </w:r>
      </w:hyperlink>
      <w:r>
        <w:rPr>
          <w:rFonts w:asciiTheme="majorBidi" w:hAnsiTheme="majorBidi" w:cstheme="majorBidi"/>
          <w:sz w:val="20"/>
          <w:szCs w:val="20"/>
        </w:rPr>
        <w:t xml:space="preserve">. </w:t>
      </w:r>
    </w:p>
    <w:bookmarkEnd w:id="40"/>
    <w:p w14:paraId="2CE071A8" w14:textId="77777777" w:rsidR="006E4B3F" w:rsidRPr="00BC4BD7" w:rsidRDefault="006E4B3F" w:rsidP="006E4B3F">
      <w:pPr>
        <w:jc w:val="both"/>
        <w:rPr>
          <w:rFonts w:asciiTheme="majorBidi" w:hAnsiTheme="majorBidi" w:cstheme="majorBidi"/>
          <w:sz w:val="20"/>
          <w:szCs w:val="20"/>
          <w:rtl/>
        </w:rPr>
      </w:pPr>
      <w:r w:rsidRPr="00BC4BD7">
        <w:rPr>
          <w:rFonts w:asciiTheme="majorBidi" w:hAnsiTheme="majorBidi" w:cstheme="majorBidi"/>
          <w:sz w:val="20"/>
          <w:szCs w:val="20"/>
        </w:rPr>
        <w:t xml:space="preserve">Hanlon, M </w:t>
      </w:r>
      <w:r>
        <w:rPr>
          <w:rFonts w:asciiTheme="majorBidi" w:hAnsiTheme="majorBidi" w:cstheme="majorBidi"/>
          <w:sz w:val="20"/>
          <w:szCs w:val="20"/>
        </w:rPr>
        <w:t>and</w:t>
      </w:r>
      <w:r w:rsidRPr="00BC4BD7">
        <w:rPr>
          <w:rFonts w:asciiTheme="majorBidi" w:hAnsiTheme="majorBidi" w:cstheme="majorBidi"/>
          <w:sz w:val="20"/>
          <w:szCs w:val="20"/>
        </w:rPr>
        <w:t xml:space="preserve"> </w:t>
      </w:r>
      <w:proofErr w:type="spellStart"/>
      <w:r w:rsidRPr="00BC4BD7">
        <w:rPr>
          <w:rFonts w:asciiTheme="majorBidi" w:hAnsiTheme="majorBidi" w:cstheme="majorBidi"/>
          <w:sz w:val="20"/>
          <w:szCs w:val="20"/>
        </w:rPr>
        <w:t>Heitzman</w:t>
      </w:r>
      <w:proofErr w:type="spellEnd"/>
      <w:r w:rsidRPr="00BC4BD7">
        <w:rPr>
          <w:rFonts w:asciiTheme="majorBidi" w:hAnsiTheme="majorBidi" w:cstheme="majorBidi"/>
          <w:sz w:val="20"/>
          <w:szCs w:val="20"/>
        </w:rPr>
        <w:t>, S. (</w:t>
      </w:r>
      <w:r>
        <w:rPr>
          <w:rFonts w:asciiTheme="majorBidi" w:hAnsiTheme="majorBidi" w:cstheme="majorBidi"/>
          <w:sz w:val="20"/>
          <w:szCs w:val="20"/>
        </w:rPr>
        <w:t>2010). A Review of Tax Research.</w:t>
      </w:r>
      <w:r w:rsidRPr="00BC4BD7">
        <w:rPr>
          <w:rFonts w:asciiTheme="majorBidi" w:hAnsiTheme="majorBidi" w:cstheme="majorBidi"/>
          <w:sz w:val="20"/>
          <w:szCs w:val="20"/>
          <w:rtl/>
        </w:rPr>
        <w:t xml:space="preserve"> </w:t>
      </w:r>
      <w:r w:rsidRPr="00BC4BD7">
        <w:rPr>
          <w:rFonts w:asciiTheme="majorBidi" w:hAnsiTheme="majorBidi" w:cstheme="majorBidi"/>
          <w:sz w:val="20"/>
          <w:szCs w:val="20"/>
        </w:rPr>
        <w:t>Journal of Accounting and Economics,</w:t>
      </w:r>
      <w:r>
        <w:rPr>
          <w:rFonts w:asciiTheme="majorBidi" w:hAnsiTheme="majorBidi" w:cstheme="majorBidi"/>
          <w:sz w:val="20"/>
          <w:szCs w:val="20"/>
        </w:rPr>
        <w:t xml:space="preserve"> vol.</w:t>
      </w:r>
      <w:r w:rsidRPr="00BC4BD7">
        <w:rPr>
          <w:rFonts w:asciiTheme="majorBidi" w:hAnsiTheme="majorBidi" w:cstheme="majorBidi"/>
          <w:sz w:val="20"/>
          <w:szCs w:val="20"/>
        </w:rPr>
        <w:t xml:space="preserve"> 50,</w:t>
      </w:r>
      <w:r>
        <w:rPr>
          <w:rFonts w:asciiTheme="majorBidi" w:hAnsiTheme="majorBidi" w:cstheme="majorBidi"/>
          <w:sz w:val="20"/>
          <w:szCs w:val="20"/>
        </w:rPr>
        <w:t xml:space="preserve"> </w:t>
      </w:r>
      <w:r w:rsidRPr="008644C6">
        <w:rPr>
          <w:rFonts w:asciiTheme="majorBidi" w:hAnsiTheme="majorBidi" w:cstheme="majorBidi"/>
          <w:sz w:val="20"/>
          <w:szCs w:val="20"/>
        </w:rPr>
        <w:t>Issues 2–3,</w:t>
      </w:r>
      <w:r w:rsidRPr="00BC4BD7">
        <w:rPr>
          <w:rFonts w:asciiTheme="majorBidi" w:hAnsiTheme="majorBidi" w:cstheme="majorBidi"/>
          <w:sz w:val="20"/>
          <w:szCs w:val="20"/>
        </w:rPr>
        <w:t xml:space="preserve"> 127-178.</w:t>
      </w:r>
      <w:r>
        <w:rPr>
          <w:rFonts w:asciiTheme="majorBidi" w:hAnsiTheme="majorBidi" w:cstheme="majorBidi"/>
          <w:sz w:val="20"/>
          <w:szCs w:val="20"/>
        </w:rPr>
        <w:t xml:space="preserve"> </w:t>
      </w:r>
      <w:hyperlink r:id="rId52" w:history="1">
        <w:r w:rsidRPr="00E953A6">
          <w:rPr>
            <w:rStyle w:val="Hyperlink"/>
            <w:rFonts w:asciiTheme="majorBidi" w:hAnsiTheme="majorBidi" w:cstheme="majorBidi"/>
            <w:sz w:val="20"/>
            <w:szCs w:val="20"/>
          </w:rPr>
          <w:t>https://doi.org/10.1016/j.jacceco.2010.09.002</w:t>
        </w:r>
      </w:hyperlink>
      <w:r>
        <w:rPr>
          <w:rFonts w:asciiTheme="majorBidi" w:hAnsiTheme="majorBidi" w:cstheme="majorBidi"/>
          <w:sz w:val="20"/>
          <w:szCs w:val="20"/>
        </w:rPr>
        <w:t xml:space="preserve">. </w:t>
      </w:r>
    </w:p>
    <w:p w14:paraId="3974FAD8" w14:textId="77777777" w:rsidR="006E4B3F" w:rsidRPr="00BC4BD7" w:rsidRDefault="006E4B3F" w:rsidP="006E4B3F">
      <w:pPr>
        <w:jc w:val="both"/>
        <w:rPr>
          <w:rFonts w:asciiTheme="majorBidi" w:hAnsiTheme="majorBidi" w:cstheme="majorBidi"/>
          <w:sz w:val="20"/>
          <w:szCs w:val="20"/>
          <w:rtl/>
        </w:rPr>
      </w:pPr>
      <w:bookmarkStart w:id="42" w:name="w36"/>
      <w:bookmarkEnd w:id="41"/>
      <w:r w:rsidRPr="006E5F84">
        <w:rPr>
          <w:rFonts w:asciiTheme="majorBidi" w:hAnsiTheme="majorBidi" w:cstheme="majorBidi"/>
          <w:sz w:val="20"/>
          <w:szCs w:val="20"/>
        </w:rPr>
        <w:t>Hasan, I., Hoi, ck., Wu, q., and H, Zhang (2017). Does Social Capital Matter in Corporate Decisions? Evidence from Corporate Tax Avoidance, Journal of Accounting, Volume55, Issue3, Pages 629-668.</w:t>
      </w:r>
      <w:r>
        <w:rPr>
          <w:rFonts w:asciiTheme="majorBidi" w:hAnsiTheme="majorBidi" w:cstheme="majorBidi"/>
          <w:sz w:val="20"/>
          <w:szCs w:val="20"/>
        </w:rPr>
        <w:t xml:space="preserve"> </w:t>
      </w:r>
      <w:hyperlink r:id="rId53" w:history="1">
        <w:r w:rsidRPr="00E953A6">
          <w:rPr>
            <w:rStyle w:val="Hyperlink"/>
            <w:rFonts w:asciiTheme="majorBidi" w:hAnsiTheme="majorBidi" w:cstheme="majorBidi"/>
            <w:sz w:val="20"/>
            <w:szCs w:val="20"/>
          </w:rPr>
          <w:t>https://doi.org/10.1111/1475-679X.12159</w:t>
        </w:r>
      </w:hyperlink>
      <w:r>
        <w:rPr>
          <w:rFonts w:asciiTheme="majorBidi" w:hAnsiTheme="majorBidi" w:cstheme="majorBidi"/>
          <w:sz w:val="20"/>
          <w:szCs w:val="20"/>
        </w:rPr>
        <w:t xml:space="preserve">. </w:t>
      </w:r>
    </w:p>
    <w:p w14:paraId="57C80EE1" w14:textId="77777777" w:rsidR="006E4B3F" w:rsidRDefault="006E4B3F" w:rsidP="006E4B3F">
      <w:pPr>
        <w:jc w:val="both"/>
        <w:rPr>
          <w:rFonts w:asciiTheme="majorBidi" w:hAnsiTheme="majorBidi" w:cstheme="majorBidi"/>
          <w:sz w:val="20"/>
          <w:szCs w:val="20"/>
        </w:rPr>
      </w:pPr>
      <w:bookmarkStart w:id="43" w:name="w48"/>
      <w:bookmarkEnd w:id="42"/>
      <w:proofErr w:type="spellStart"/>
      <w:r w:rsidRPr="00EE51B1">
        <w:rPr>
          <w:rFonts w:asciiTheme="majorBidi" w:hAnsiTheme="majorBidi" w:cstheme="majorBidi"/>
          <w:sz w:val="20"/>
          <w:szCs w:val="20"/>
        </w:rPr>
        <w:t>Hermalin</w:t>
      </w:r>
      <w:proofErr w:type="spellEnd"/>
      <w:r w:rsidRPr="00EE51B1">
        <w:rPr>
          <w:rFonts w:asciiTheme="majorBidi" w:hAnsiTheme="majorBidi" w:cstheme="majorBidi"/>
          <w:sz w:val="20"/>
          <w:szCs w:val="20"/>
        </w:rPr>
        <w:t xml:space="preserve">, B. E., &amp; </w:t>
      </w:r>
      <w:proofErr w:type="spellStart"/>
      <w:r w:rsidRPr="00EE51B1">
        <w:rPr>
          <w:rFonts w:asciiTheme="majorBidi" w:hAnsiTheme="majorBidi" w:cstheme="majorBidi"/>
          <w:sz w:val="20"/>
          <w:szCs w:val="20"/>
        </w:rPr>
        <w:t>Weisbach</w:t>
      </w:r>
      <w:proofErr w:type="spellEnd"/>
      <w:r w:rsidRPr="00EE51B1">
        <w:rPr>
          <w:rFonts w:asciiTheme="majorBidi" w:hAnsiTheme="majorBidi" w:cstheme="majorBidi"/>
          <w:sz w:val="20"/>
          <w:szCs w:val="20"/>
        </w:rPr>
        <w:t>, M. S. (1988). The determinants of board composition. Rand Journal of Economics, 19: 589-606.</w:t>
      </w:r>
      <w:r>
        <w:rPr>
          <w:rFonts w:asciiTheme="majorBidi" w:hAnsiTheme="majorBidi" w:cstheme="majorBidi"/>
          <w:sz w:val="20"/>
          <w:szCs w:val="20"/>
        </w:rPr>
        <w:t xml:space="preserve"> </w:t>
      </w:r>
      <w:hyperlink r:id="rId54" w:history="1">
        <w:r w:rsidRPr="00E953A6">
          <w:rPr>
            <w:rStyle w:val="Hyperlink"/>
            <w:rFonts w:asciiTheme="majorBidi" w:hAnsiTheme="majorBidi" w:cstheme="majorBidi"/>
            <w:sz w:val="20"/>
            <w:szCs w:val="20"/>
          </w:rPr>
          <w:t>https://doi.org/10.2307/2555459</w:t>
        </w:r>
      </w:hyperlink>
      <w:r>
        <w:rPr>
          <w:rFonts w:asciiTheme="majorBidi" w:hAnsiTheme="majorBidi" w:cstheme="majorBidi"/>
          <w:sz w:val="20"/>
          <w:szCs w:val="20"/>
        </w:rPr>
        <w:t xml:space="preserve">. </w:t>
      </w:r>
    </w:p>
    <w:p w14:paraId="30EFA27C" w14:textId="77777777" w:rsidR="006E4B3F" w:rsidRPr="00BC4BD7" w:rsidRDefault="006E4B3F" w:rsidP="006E4B3F">
      <w:pPr>
        <w:jc w:val="both"/>
        <w:rPr>
          <w:rFonts w:asciiTheme="majorBidi" w:hAnsiTheme="majorBidi" w:cstheme="majorBidi"/>
          <w:sz w:val="20"/>
          <w:szCs w:val="20"/>
        </w:rPr>
      </w:pPr>
      <w:bookmarkStart w:id="44" w:name="w47"/>
      <w:bookmarkEnd w:id="43"/>
      <w:r w:rsidRPr="00BC4BD7">
        <w:rPr>
          <w:rFonts w:asciiTheme="majorBidi" w:hAnsiTheme="majorBidi" w:cstheme="majorBidi"/>
          <w:sz w:val="20"/>
          <w:szCs w:val="20"/>
        </w:rPr>
        <w:lastRenderedPageBreak/>
        <w:t xml:space="preserve">Huang, X., </w:t>
      </w:r>
      <w:proofErr w:type="spellStart"/>
      <w:r w:rsidRPr="00BC4BD7">
        <w:rPr>
          <w:rFonts w:asciiTheme="majorBidi" w:hAnsiTheme="majorBidi" w:cstheme="majorBidi"/>
          <w:sz w:val="20"/>
          <w:szCs w:val="20"/>
        </w:rPr>
        <w:t>Kabir</w:t>
      </w:r>
      <w:proofErr w:type="spellEnd"/>
      <w:r w:rsidRPr="00BC4BD7">
        <w:rPr>
          <w:rFonts w:asciiTheme="majorBidi" w:hAnsiTheme="majorBidi" w:cstheme="majorBidi"/>
          <w:sz w:val="20"/>
          <w:szCs w:val="20"/>
        </w:rPr>
        <w:t>, R and L Zhang (2018). Government ownership and the capital structure of firms: Analysis of an institutional context from China. China Journal of Accounting Research, Volume 11, Issue 3, Pages 171-185.</w:t>
      </w:r>
      <w:r>
        <w:rPr>
          <w:rFonts w:asciiTheme="majorBidi" w:hAnsiTheme="majorBidi" w:cstheme="majorBidi"/>
          <w:sz w:val="20"/>
          <w:szCs w:val="20"/>
        </w:rPr>
        <w:t xml:space="preserve"> </w:t>
      </w:r>
      <w:hyperlink r:id="rId55" w:history="1">
        <w:r w:rsidRPr="00E953A6">
          <w:rPr>
            <w:rStyle w:val="Hyperlink"/>
            <w:rFonts w:asciiTheme="majorBidi" w:hAnsiTheme="majorBidi" w:cstheme="majorBidi"/>
            <w:sz w:val="20"/>
            <w:szCs w:val="20"/>
          </w:rPr>
          <w:t>https://doi.org/10.1016/j.cjar.2018.07.001</w:t>
        </w:r>
      </w:hyperlink>
      <w:r>
        <w:rPr>
          <w:rFonts w:asciiTheme="majorBidi" w:hAnsiTheme="majorBidi" w:cstheme="majorBidi"/>
          <w:sz w:val="20"/>
          <w:szCs w:val="20"/>
        </w:rPr>
        <w:t xml:space="preserve">. </w:t>
      </w:r>
    </w:p>
    <w:p w14:paraId="7439333B" w14:textId="77777777" w:rsidR="006E4B3F" w:rsidRPr="005A2A82" w:rsidRDefault="006E4B3F" w:rsidP="006E4B3F">
      <w:pPr>
        <w:jc w:val="both"/>
        <w:rPr>
          <w:rFonts w:asciiTheme="majorBidi" w:hAnsiTheme="majorBidi" w:cstheme="majorBidi"/>
          <w:sz w:val="20"/>
          <w:szCs w:val="20"/>
          <w:rtl/>
        </w:rPr>
      </w:pPr>
      <w:bookmarkStart w:id="45" w:name="w57"/>
      <w:bookmarkEnd w:id="44"/>
      <w:proofErr w:type="spellStart"/>
      <w:r w:rsidRPr="00BC4BD7">
        <w:rPr>
          <w:rFonts w:asciiTheme="majorBidi" w:hAnsiTheme="majorBidi" w:cstheme="majorBidi"/>
          <w:sz w:val="20"/>
          <w:szCs w:val="20"/>
        </w:rPr>
        <w:t>Hudaib</w:t>
      </w:r>
      <w:proofErr w:type="spellEnd"/>
      <w:r w:rsidRPr="00BC4BD7">
        <w:rPr>
          <w:rFonts w:asciiTheme="majorBidi" w:hAnsiTheme="majorBidi" w:cstheme="majorBidi"/>
          <w:sz w:val="20"/>
          <w:szCs w:val="20"/>
        </w:rPr>
        <w:t>, M and TE, Cooke (2005). The Impact of Managing Director Changes and Financial Distress on Audit Qualification and Auditor Switching, Journal of Business Finance, Volume32, Issue9</w:t>
      </w:r>
      <w:r w:rsidRPr="00BC4BD7">
        <w:rPr>
          <w:rFonts w:ascii="Cambria Math" w:hAnsi="Cambria Math" w:cs="Cambria Math"/>
          <w:sz w:val="20"/>
          <w:szCs w:val="20"/>
        </w:rPr>
        <w:t>‐</w:t>
      </w:r>
      <w:r w:rsidRPr="00BC4BD7">
        <w:rPr>
          <w:rFonts w:asciiTheme="majorBidi" w:hAnsiTheme="majorBidi" w:cstheme="majorBidi"/>
          <w:sz w:val="20"/>
          <w:szCs w:val="20"/>
        </w:rPr>
        <w:t>10, Pages 1703-1739.</w:t>
      </w:r>
      <w:r>
        <w:rPr>
          <w:rFonts w:asciiTheme="majorBidi" w:hAnsiTheme="majorBidi" w:cstheme="majorBidi"/>
          <w:sz w:val="20"/>
          <w:szCs w:val="20"/>
        </w:rPr>
        <w:t xml:space="preserve"> </w:t>
      </w:r>
      <w:hyperlink r:id="rId56" w:history="1">
        <w:r w:rsidRPr="00E953A6">
          <w:rPr>
            <w:rStyle w:val="Hyperlink"/>
            <w:rFonts w:asciiTheme="majorBidi" w:hAnsiTheme="majorBidi" w:cstheme="majorBidi"/>
            <w:sz w:val="20"/>
            <w:szCs w:val="20"/>
          </w:rPr>
          <w:t>https://doi.org/10.1111/j.0306-686X.2005.00645.x</w:t>
        </w:r>
      </w:hyperlink>
      <w:r>
        <w:rPr>
          <w:rFonts w:asciiTheme="majorBidi" w:hAnsiTheme="majorBidi" w:cstheme="majorBidi"/>
          <w:sz w:val="20"/>
          <w:szCs w:val="20"/>
        </w:rPr>
        <w:t xml:space="preserve">. </w:t>
      </w:r>
    </w:p>
    <w:p w14:paraId="516F4383" w14:textId="77777777" w:rsidR="006E4B3F" w:rsidRDefault="006E4B3F" w:rsidP="006E4B3F">
      <w:pPr>
        <w:jc w:val="both"/>
        <w:rPr>
          <w:rFonts w:asciiTheme="majorBidi" w:hAnsiTheme="majorBidi" w:cstheme="majorBidi"/>
          <w:sz w:val="20"/>
          <w:szCs w:val="20"/>
        </w:rPr>
      </w:pPr>
      <w:bookmarkStart w:id="46" w:name="w27"/>
      <w:bookmarkEnd w:id="45"/>
      <w:proofErr w:type="spellStart"/>
      <w:r w:rsidRPr="00BC4BD7">
        <w:rPr>
          <w:rFonts w:asciiTheme="majorBidi" w:hAnsiTheme="majorBidi" w:cstheme="majorBidi"/>
          <w:sz w:val="20"/>
          <w:szCs w:val="20"/>
        </w:rPr>
        <w:t>Ianniello</w:t>
      </w:r>
      <w:proofErr w:type="spellEnd"/>
      <w:r w:rsidRPr="00BC4BD7">
        <w:rPr>
          <w:rFonts w:asciiTheme="majorBidi" w:hAnsiTheme="majorBidi" w:cstheme="majorBidi"/>
          <w:sz w:val="20"/>
          <w:szCs w:val="20"/>
        </w:rPr>
        <w:t xml:space="preserve">, G. and G., </w:t>
      </w:r>
      <w:proofErr w:type="spellStart"/>
      <w:r w:rsidRPr="00BC4BD7">
        <w:rPr>
          <w:rFonts w:asciiTheme="majorBidi" w:hAnsiTheme="majorBidi" w:cstheme="majorBidi"/>
          <w:sz w:val="20"/>
          <w:szCs w:val="20"/>
        </w:rPr>
        <w:t>Galloppo</w:t>
      </w:r>
      <w:proofErr w:type="spellEnd"/>
      <w:r w:rsidRPr="00BC4BD7">
        <w:rPr>
          <w:rFonts w:asciiTheme="majorBidi" w:hAnsiTheme="majorBidi" w:cstheme="majorBidi"/>
          <w:sz w:val="20"/>
          <w:szCs w:val="20"/>
        </w:rPr>
        <w:t xml:space="preserve"> (2015). Stock market reaction to auditor opinions – Italian evidence. Managerial Auditing Journal, Vol. 30 No. 6/7, pp. 610-632. </w:t>
      </w:r>
      <w:hyperlink r:id="rId57" w:history="1">
        <w:r w:rsidRPr="00AC1D58">
          <w:rPr>
            <w:rStyle w:val="Hyperlink"/>
            <w:rFonts w:asciiTheme="majorBidi" w:hAnsiTheme="majorBidi" w:cstheme="majorBidi"/>
            <w:sz w:val="20"/>
            <w:szCs w:val="20"/>
          </w:rPr>
          <w:t>https://doi.org/10.1108/MAJ-06-2014-1045</w:t>
        </w:r>
      </w:hyperlink>
      <w:r w:rsidRPr="00BC4BD7">
        <w:rPr>
          <w:rFonts w:asciiTheme="majorBidi" w:hAnsiTheme="majorBidi" w:cstheme="majorBidi"/>
          <w:sz w:val="20"/>
          <w:szCs w:val="20"/>
        </w:rPr>
        <w:t>.</w:t>
      </w:r>
    </w:p>
    <w:p w14:paraId="347DD3C7" w14:textId="77777777" w:rsidR="006E4B3F" w:rsidRPr="00BC4BD7" w:rsidRDefault="006E4B3F" w:rsidP="006E4B3F">
      <w:pPr>
        <w:jc w:val="both"/>
        <w:rPr>
          <w:rFonts w:asciiTheme="majorBidi" w:hAnsiTheme="majorBidi" w:cstheme="majorBidi"/>
          <w:sz w:val="20"/>
          <w:szCs w:val="20"/>
          <w:rtl/>
        </w:rPr>
      </w:pPr>
      <w:bookmarkStart w:id="47" w:name="w40"/>
      <w:r w:rsidRPr="00BE3816">
        <w:rPr>
          <w:rFonts w:asciiTheme="majorBidi" w:hAnsiTheme="majorBidi" w:cstheme="majorBidi"/>
          <w:sz w:val="20"/>
          <w:szCs w:val="20"/>
        </w:rPr>
        <w:t>Iranian National Tax Administration (2012). D</w:t>
      </w:r>
      <w:r>
        <w:rPr>
          <w:rFonts w:asciiTheme="majorBidi" w:hAnsiTheme="majorBidi" w:cstheme="majorBidi"/>
          <w:sz w:val="20"/>
          <w:szCs w:val="20"/>
        </w:rPr>
        <w:t>irect</w:t>
      </w:r>
      <w:r w:rsidRPr="00BE3816">
        <w:rPr>
          <w:rFonts w:asciiTheme="majorBidi" w:hAnsiTheme="majorBidi" w:cstheme="majorBidi"/>
          <w:sz w:val="20"/>
          <w:szCs w:val="20"/>
        </w:rPr>
        <w:t xml:space="preserve"> </w:t>
      </w:r>
      <w:r>
        <w:rPr>
          <w:rFonts w:asciiTheme="majorBidi" w:hAnsiTheme="majorBidi" w:cstheme="majorBidi"/>
          <w:sz w:val="20"/>
          <w:szCs w:val="20"/>
        </w:rPr>
        <w:t>taxes</w:t>
      </w:r>
      <w:r w:rsidRPr="00BE3816">
        <w:rPr>
          <w:rFonts w:asciiTheme="majorBidi" w:hAnsiTheme="majorBidi" w:cstheme="majorBidi"/>
          <w:sz w:val="20"/>
          <w:szCs w:val="20"/>
        </w:rPr>
        <w:t xml:space="preserve"> </w:t>
      </w:r>
      <w:r>
        <w:rPr>
          <w:rFonts w:asciiTheme="majorBidi" w:hAnsiTheme="majorBidi" w:cstheme="majorBidi"/>
          <w:sz w:val="20"/>
          <w:szCs w:val="20"/>
        </w:rPr>
        <w:t>act</w:t>
      </w:r>
      <w:r w:rsidRPr="00BE3816">
        <w:rPr>
          <w:rFonts w:asciiTheme="majorBidi" w:hAnsiTheme="majorBidi" w:cstheme="majorBidi"/>
          <w:sz w:val="20"/>
          <w:szCs w:val="20"/>
        </w:rPr>
        <w:t xml:space="preserve">. </w:t>
      </w:r>
      <w:hyperlink r:id="rId58" w:history="1">
        <w:r w:rsidRPr="00AC1D58">
          <w:rPr>
            <w:rStyle w:val="Hyperlink"/>
            <w:rFonts w:asciiTheme="majorBidi" w:hAnsiTheme="majorBidi" w:cstheme="majorBidi"/>
            <w:sz w:val="20"/>
            <w:szCs w:val="20"/>
          </w:rPr>
          <w:t>http://en.intamedia.ir/pages/download.aspx</w:t>
        </w:r>
      </w:hyperlink>
      <w:r w:rsidRPr="00BE3816">
        <w:rPr>
          <w:rFonts w:asciiTheme="majorBidi" w:hAnsiTheme="majorBidi" w:cstheme="majorBidi"/>
          <w:sz w:val="20"/>
          <w:szCs w:val="20"/>
        </w:rPr>
        <w:t>?</w:t>
      </w:r>
      <w:r>
        <w:rPr>
          <w:rFonts w:asciiTheme="majorBidi" w:hAnsiTheme="majorBidi" w:cstheme="majorBidi"/>
          <w:sz w:val="20"/>
          <w:szCs w:val="20"/>
        </w:rPr>
        <w:t xml:space="preserve"> </w:t>
      </w:r>
      <w:r w:rsidRPr="00BE3816">
        <w:rPr>
          <w:rFonts w:asciiTheme="majorBidi" w:hAnsiTheme="majorBidi" w:cstheme="majorBidi"/>
          <w:sz w:val="20"/>
          <w:szCs w:val="20"/>
        </w:rPr>
        <w:t>mode=</w:t>
      </w:r>
      <w:proofErr w:type="spellStart"/>
      <w:r w:rsidRPr="00BE3816">
        <w:rPr>
          <w:rFonts w:asciiTheme="majorBidi" w:hAnsiTheme="majorBidi" w:cstheme="majorBidi"/>
          <w:sz w:val="20"/>
          <w:szCs w:val="20"/>
        </w:rPr>
        <w:t>document&amp;id</w:t>
      </w:r>
      <w:proofErr w:type="spellEnd"/>
      <w:r w:rsidRPr="00BE3816">
        <w:rPr>
          <w:rFonts w:asciiTheme="majorBidi" w:hAnsiTheme="majorBidi" w:cstheme="majorBidi"/>
          <w:sz w:val="20"/>
          <w:szCs w:val="20"/>
        </w:rPr>
        <w:t>=272</w:t>
      </w:r>
    </w:p>
    <w:p w14:paraId="5A32554E" w14:textId="77777777" w:rsidR="006E4B3F" w:rsidRPr="00BC4BD7" w:rsidRDefault="006E4B3F" w:rsidP="006E4B3F">
      <w:pPr>
        <w:jc w:val="both"/>
        <w:rPr>
          <w:rFonts w:asciiTheme="majorBidi" w:hAnsiTheme="majorBidi" w:cstheme="majorBidi"/>
          <w:sz w:val="20"/>
          <w:szCs w:val="20"/>
          <w:rtl/>
        </w:rPr>
      </w:pPr>
      <w:bookmarkStart w:id="48" w:name="w49"/>
      <w:bookmarkEnd w:id="46"/>
      <w:bookmarkEnd w:id="47"/>
      <w:proofErr w:type="spellStart"/>
      <w:r w:rsidRPr="00257C22">
        <w:rPr>
          <w:rFonts w:asciiTheme="majorBidi" w:hAnsiTheme="majorBidi" w:cstheme="majorBidi"/>
          <w:sz w:val="20"/>
          <w:szCs w:val="20"/>
        </w:rPr>
        <w:t>Karamanou</w:t>
      </w:r>
      <w:proofErr w:type="spellEnd"/>
      <w:r w:rsidRPr="00257C22">
        <w:rPr>
          <w:rFonts w:asciiTheme="majorBidi" w:hAnsiTheme="majorBidi" w:cstheme="majorBidi"/>
          <w:sz w:val="20"/>
          <w:szCs w:val="20"/>
        </w:rPr>
        <w:t xml:space="preserve">, I. and N. </w:t>
      </w:r>
      <w:proofErr w:type="spellStart"/>
      <w:r w:rsidRPr="00257C22">
        <w:rPr>
          <w:rFonts w:asciiTheme="majorBidi" w:hAnsiTheme="majorBidi" w:cstheme="majorBidi"/>
          <w:sz w:val="20"/>
          <w:szCs w:val="20"/>
        </w:rPr>
        <w:t>Vafeas</w:t>
      </w:r>
      <w:proofErr w:type="spellEnd"/>
      <w:r w:rsidRPr="00257C22">
        <w:rPr>
          <w:rFonts w:asciiTheme="majorBidi" w:hAnsiTheme="majorBidi" w:cstheme="majorBidi"/>
          <w:sz w:val="20"/>
          <w:szCs w:val="20"/>
        </w:rPr>
        <w:t xml:space="preserve"> (2005</w:t>
      </w:r>
      <w:proofErr w:type="gramStart"/>
      <w:r w:rsidRPr="00257C22">
        <w:rPr>
          <w:rFonts w:asciiTheme="majorBidi" w:hAnsiTheme="majorBidi" w:cstheme="majorBidi"/>
          <w:sz w:val="20"/>
          <w:szCs w:val="20"/>
        </w:rPr>
        <w:t>).The</w:t>
      </w:r>
      <w:proofErr w:type="gramEnd"/>
      <w:r w:rsidRPr="00257C22">
        <w:rPr>
          <w:rFonts w:asciiTheme="majorBidi" w:hAnsiTheme="majorBidi" w:cstheme="majorBidi"/>
          <w:sz w:val="20"/>
          <w:szCs w:val="20"/>
        </w:rPr>
        <w:t xml:space="preserve"> Association between Corporate Boards, Audit Committees, and Management Earnings Forecasts: An Empirical Analysis. Journal of Accounting Research, 43 (3): 453-486.</w:t>
      </w:r>
      <w:r>
        <w:rPr>
          <w:rFonts w:asciiTheme="majorBidi" w:hAnsiTheme="majorBidi" w:cstheme="majorBidi"/>
          <w:sz w:val="20"/>
          <w:szCs w:val="20"/>
        </w:rPr>
        <w:t xml:space="preserve"> </w:t>
      </w:r>
      <w:hyperlink r:id="rId59" w:history="1">
        <w:r w:rsidRPr="00E953A6">
          <w:rPr>
            <w:rStyle w:val="Hyperlink"/>
            <w:rFonts w:asciiTheme="majorBidi" w:hAnsiTheme="majorBidi" w:cstheme="majorBidi"/>
            <w:sz w:val="20"/>
            <w:szCs w:val="20"/>
          </w:rPr>
          <w:t>https://doi.org/10.1111/j.1475-679X.2005.00177.x</w:t>
        </w:r>
      </w:hyperlink>
      <w:r>
        <w:rPr>
          <w:rFonts w:asciiTheme="majorBidi" w:hAnsiTheme="majorBidi" w:cstheme="majorBidi"/>
          <w:sz w:val="20"/>
          <w:szCs w:val="20"/>
        </w:rPr>
        <w:t xml:space="preserve">. </w:t>
      </w:r>
    </w:p>
    <w:p w14:paraId="57FF6D46" w14:textId="77777777" w:rsidR="006E4B3F" w:rsidRPr="00BC4BD7" w:rsidRDefault="006E4B3F" w:rsidP="006E4B3F">
      <w:pPr>
        <w:jc w:val="both"/>
        <w:rPr>
          <w:rFonts w:asciiTheme="majorBidi" w:hAnsiTheme="majorBidi" w:cstheme="majorBidi"/>
          <w:sz w:val="20"/>
          <w:szCs w:val="20"/>
          <w:rtl/>
        </w:rPr>
      </w:pPr>
      <w:bookmarkStart w:id="49" w:name="w24"/>
      <w:bookmarkEnd w:id="48"/>
      <w:r w:rsidRPr="00BC4BD7">
        <w:rPr>
          <w:rFonts w:asciiTheme="majorBidi" w:hAnsiTheme="majorBidi" w:cstheme="majorBidi"/>
          <w:sz w:val="20"/>
          <w:szCs w:val="20"/>
        </w:rPr>
        <w:t>Kim, J.B., Li, Y and L Zhang (2011). Corporate tax avoidance and stock price crash risk: Firm-level analysis. Journal of Financial Economics, Volume 100, Issue 3, Pages 639-662.</w:t>
      </w:r>
      <w:r>
        <w:rPr>
          <w:rFonts w:asciiTheme="majorBidi" w:hAnsiTheme="majorBidi" w:cstheme="majorBidi"/>
          <w:sz w:val="20"/>
          <w:szCs w:val="20"/>
        </w:rPr>
        <w:t xml:space="preserve"> </w:t>
      </w:r>
      <w:hyperlink r:id="rId60" w:history="1">
        <w:r w:rsidRPr="00E953A6">
          <w:rPr>
            <w:rStyle w:val="Hyperlink"/>
            <w:rFonts w:asciiTheme="majorBidi" w:hAnsiTheme="majorBidi" w:cstheme="majorBidi"/>
            <w:sz w:val="20"/>
            <w:szCs w:val="20"/>
          </w:rPr>
          <w:t>https://doi.org/10.1016/j.jfineco.2010.07.007</w:t>
        </w:r>
      </w:hyperlink>
      <w:r>
        <w:rPr>
          <w:rFonts w:asciiTheme="majorBidi" w:hAnsiTheme="majorBidi" w:cstheme="majorBidi"/>
          <w:sz w:val="20"/>
          <w:szCs w:val="20"/>
        </w:rPr>
        <w:t xml:space="preserve">. </w:t>
      </w:r>
    </w:p>
    <w:p w14:paraId="7D0FEB65" w14:textId="77777777" w:rsidR="006E4B3F" w:rsidRDefault="006E4B3F" w:rsidP="006E4B3F">
      <w:pPr>
        <w:jc w:val="both"/>
        <w:rPr>
          <w:rFonts w:asciiTheme="majorBidi" w:hAnsiTheme="majorBidi" w:cstheme="majorBidi"/>
          <w:sz w:val="20"/>
          <w:szCs w:val="20"/>
        </w:rPr>
      </w:pPr>
      <w:bookmarkStart w:id="50" w:name="w41"/>
      <w:bookmarkEnd w:id="49"/>
      <w:r w:rsidRPr="00BC4BD7">
        <w:rPr>
          <w:rFonts w:asciiTheme="majorBidi" w:hAnsiTheme="majorBidi" w:cstheme="majorBidi"/>
          <w:sz w:val="20"/>
          <w:szCs w:val="20"/>
        </w:rPr>
        <w:t xml:space="preserve">Kim, </w:t>
      </w:r>
      <w:proofErr w:type="gramStart"/>
      <w:r w:rsidRPr="00BC4BD7">
        <w:rPr>
          <w:rFonts w:asciiTheme="majorBidi" w:hAnsiTheme="majorBidi" w:cstheme="majorBidi"/>
          <w:sz w:val="20"/>
          <w:szCs w:val="20"/>
        </w:rPr>
        <w:t>K.,</w:t>
      </w:r>
      <w:proofErr w:type="spellStart"/>
      <w:r w:rsidRPr="00BC4BD7">
        <w:rPr>
          <w:rFonts w:asciiTheme="majorBidi" w:hAnsiTheme="majorBidi" w:cstheme="majorBidi"/>
          <w:sz w:val="20"/>
          <w:szCs w:val="20"/>
        </w:rPr>
        <w:t>Pandit</w:t>
      </w:r>
      <w:proofErr w:type="spellEnd"/>
      <w:proofErr w:type="gramEnd"/>
      <w:r w:rsidRPr="00BC4BD7">
        <w:rPr>
          <w:rFonts w:asciiTheme="majorBidi" w:hAnsiTheme="majorBidi" w:cstheme="majorBidi"/>
          <w:sz w:val="20"/>
          <w:szCs w:val="20"/>
        </w:rPr>
        <w:t xml:space="preserve">, S. and C. E. </w:t>
      </w:r>
      <w:proofErr w:type="spellStart"/>
      <w:r w:rsidRPr="00BC4BD7">
        <w:rPr>
          <w:rFonts w:asciiTheme="majorBidi" w:hAnsiTheme="majorBidi" w:cstheme="majorBidi"/>
          <w:sz w:val="20"/>
          <w:szCs w:val="20"/>
        </w:rPr>
        <w:t>Wasley</w:t>
      </w:r>
      <w:proofErr w:type="spellEnd"/>
      <w:r w:rsidRPr="00BC4BD7">
        <w:rPr>
          <w:rFonts w:asciiTheme="majorBidi" w:hAnsiTheme="majorBidi" w:cstheme="majorBidi"/>
          <w:sz w:val="20"/>
          <w:szCs w:val="20"/>
        </w:rPr>
        <w:t xml:space="preserve"> (2010). Aggregate Uncertainty</w:t>
      </w:r>
      <w:r w:rsidRPr="00BC4BD7">
        <w:rPr>
          <w:rFonts w:asciiTheme="majorBidi" w:hAnsiTheme="majorBidi" w:cstheme="majorBidi"/>
          <w:sz w:val="20"/>
          <w:szCs w:val="20"/>
          <w:rtl/>
        </w:rPr>
        <w:t xml:space="preserve"> </w:t>
      </w:r>
      <w:r w:rsidRPr="00BC4BD7">
        <w:rPr>
          <w:rFonts w:asciiTheme="majorBidi" w:hAnsiTheme="majorBidi" w:cstheme="majorBidi"/>
          <w:sz w:val="20"/>
          <w:szCs w:val="20"/>
        </w:rPr>
        <w:t>and Management Earnings Forecasts. University of Illinois at Chicago,</w:t>
      </w:r>
      <w:r w:rsidRPr="00BC4BD7">
        <w:rPr>
          <w:rFonts w:asciiTheme="majorBidi" w:hAnsiTheme="majorBidi" w:cstheme="majorBidi"/>
          <w:sz w:val="20"/>
          <w:szCs w:val="20"/>
          <w:rtl/>
        </w:rPr>
        <w:t xml:space="preserve"> </w:t>
      </w:r>
      <w:r w:rsidRPr="00BC4BD7">
        <w:rPr>
          <w:rFonts w:asciiTheme="majorBidi" w:hAnsiTheme="majorBidi" w:cstheme="majorBidi"/>
          <w:sz w:val="20"/>
          <w:szCs w:val="20"/>
        </w:rPr>
        <w:t>Chicago. IL 60607.</w:t>
      </w:r>
      <w:r>
        <w:rPr>
          <w:rFonts w:asciiTheme="majorBidi" w:hAnsiTheme="majorBidi" w:cstheme="majorBidi"/>
          <w:sz w:val="20"/>
          <w:szCs w:val="20"/>
        </w:rPr>
        <w:t xml:space="preserve"> </w:t>
      </w:r>
      <w:hyperlink r:id="rId61" w:history="1">
        <w:r w:rsidRPr="00E953A6">
          <w:rPr>
            <w:rStyle w:val="Hyperlink"/>
            <w:rFonts w:asciiTheme="majorBidi" w:hAnsiTheme="majorBidi" w:cstheme="majorBidi"/>
            <w:sz w:val="20"/>
            <w:szCs w:val="20"/>
          </w:rPr>
          <w:t>https://doi.org/10.2139/ssrn.1605404</w:t>
        </w:r>
      </w:hyperlink>
      <w:r>
        <w:rPr>
          <w:rFonts w:asciiTheme="majorBidi" w:hAnsiTheme="majorBidi" w:cstheme="majorBidi"/>
          <w:sz w:val="20"/>
          <w:szCs w:val="20"/>
        </w:rPr>
        <w:t xml:space="preserve">. </w:t>
      </w:r>
    </w:p>
    <w:p w14:paraId="66C68124" w14:textId="77777777" w:rsidR="006E4B3F" w:rsidRDefault="006E4B3F" w:rsidP="006E4B3F">
      <w:pPr>
        <w:jc w:val="both"/>
        <w:rPr>
          <w:rFonts w:asciiTheme="majorBidi" w:hAnsiTheme="majorBidi" w:cstheme="majorBidi"/>
          <w:sz w:val="20"/>
          <w:szCs w:val="20"/>
        </w:rPr>
      </w:pPr>
      <w:bookmarkStart w:id="51" w:name="W81"/>
      <w:bookmarkEnd w:id="50"/>
      <w:r w:rsidRPr="00717603">
        <w:rPr>
          <w:rFonts w:asciiTheme="majorBidi" w:hAnsiTheme="majorBidi" w:cstheme="majorBidi"/>
          <w:sz w:val="20"/>
          <w:szCs w:val="20"/>
        </w:rPr>
        <w:t xml:space="preserve">Kim, Y. and Park, M. (2014). Real activities manipulation and auditors’ Client-Retention decisions. The Accounting Review, Vol. 89 No. 1, pp. 367-401. </w:t>
      </w:r>
      <w:hyperlink r:id="rId62" w:history="1">
        <w:r w:rsidRPr="00A46AB6">
          <w:rPr>
            <w:rStyle w:val="Hyperlink"/>
            <w:rFonts w:asciiTheme="majorBidi" w:hAnsiTheme="majorBidi" w:cstheme="majorBidi"/>
            <w:sz w:val="20"/>
            <w:szCs w:val="20"/>
          </w:rPr>
          <w:t>https://doi.org/10.2308/accr-50586</w:t>
        </w:r>
      </w:hyperlink>
      <w:r>
        <w:rPr>
          <w:rFonts w:asciiTheme="majorBidi" w:hAnsiTheme="majorBidi" w:cstheme="majorBidi"/>
          <w:sz w:val="20"/>
          <w:szCs w:val="20"/>
        </w:rPr>
        <w:t>.</w:t>
      </w:r>
    </w:p>
    <w:bookmarkEnd w:id="51"/>
    <w:p w14:paraId="6855413B" w14:textId="77777777" w:rsidR="006E4B3F" w:rsidRDefault="006E4B3F" w:rsidP="006E4B3F">
      <w:pPr>
        <w:jc w:val="both"/>
        <w:rPr>
          <w:rFonts w:asciiTheme="majorBidi" w:hAnsiTheme="majorBidi" w:cstheme="majorBidi"/>
          <w:sz w:val="20"/>
          <w:szCs w:val="20"/>
        </w:rPr>
      </w:pPr>
      <w:r w:rsidRPr="009207E0">
        <w:rPr>
          <w:rFonts w:asciiTheme="majorBidi" w:hAnsiTheme="majorBidi" w:cstheme="majorBidi"/>
          <w:sz w:val="20"/>
          <w:szCs w:val="20"/>
        </w:rPr>
        <w:t xml:space="preserve">Koester, A., </w:t>
      </w:r>
      <w:proofErr w:type="spellStart"/>
      <w:r w:rsidRPr="009207E0">
        <w:rPr>
          <w:rFonts w:asciiTheme="majorBidi" w:hAnsiTheme="majorBidi" w:cstheme="majorBidi"/>
          <w:sz w:val="20"/>
          <w:szCs w:val="20"/>
        </w:rPr>
        <w:t>Shevlin</w:t>
      </w:r>
      <w:proofErr w:type="spellEnd"/>
      <w:r w:rsidRPr="009207E0">
        <w:rPr>
          <w:rFonts w:asciiTheme="majorBidi" w:hAnsiTheme="majorBidi" w:cstheme="majorBidi"/>
          <w:sz w:val="20"/>
          <w:szCs w:val="20"/>
        </w:rPr>
        <w:t xml:space="preserve">, T., </w:t>
      </w:r>
      <w:r>
        <w:rPr>
          <w:rFonts w:asciiTheme="majorBidi" w:hAnsiTheme="majorBidi" w:cstheme="majorBidi"/>
          <w:sz w:val="20"/>
          <w:szCs w:val="20"/>
        </w:rPr>
        <w:t>and</w:t>
      </w:r>
      <w:r w:rsidRPr="009207E0">
        <w:rPr>
          <w:rFonts w:asciiTheme="majorBidi" w:hAnsiTheme="majorBidi" w:cstheme="majorBidi"/>
          <w:sz w:val="20"/>
          <w:szCs w:val="20"/>
        </w:rPr>
        <w:t xml:space="preserve"> </w:t>
      </w:r>
      <w:proofErr w:type="spellStart"/>
      <w:r w:rsidRPr="009207E0">
        <w:rPr>
          <w:rFonts w:asciiTheme="majorBidi" w:hAnsiTheme="majorBidi" w:cstheme="majorBidi"/>
          <w:sz w:val="20"/>
          <w:szCs w:val="20"/>
        </w:rPr>
        <w:t>Wangerin</w:t>
      </w:r>
      <w:proofErr w:type="spellEnd"/>
      <w:r w:rsidRPr="009207E0">
        <w:rPr>
          <w:rFonts w:asciiTheme="majorBidi" w:hAnsiTheme="majorBidi" w:cstheme="majorBidi"/>
          <w:sz w:val="20"/>
          <w:szCs w:val="20"/>
        </w:rPr>
        <w:t xml:space="preserve">, D. (2013). Does operational efficiency spill over onto the tax return? Working Paper. </w:t>
      </w:r>
      <w:bookmarkStart w:id="52" w:name="w39"/>
      <w:r>
        <w:rPr>
          <w:rFonts w:asciiTheme="majorBidi" w:hAnsiTheme="majorBidi" w:cstheme="majorBidi"/>
          <w:sz w:val="20"/>
          <w:szCs w:val="20"/>
        </w:rPr>
        <w:fldChar w:fldCharType="begin"/>
      </w:r>
      <w:r>
        <w:rPr>
          <w:rFonts w:asciiTheme="majorBidi" w:hAnsiTheme="majorBidi" w:cstheme="majorBidi"/>
          <w:sz w:val="20"/>
          <w:szCs w:val="20"/>
        </w:rPr>
        <w:instrText xml:space="preserve"> HYPERLINK "</w:instrText>
      </w:r>
      <w:r w:rsidRPr="00BE3CD4">
        <w:rPr>
          <w:rFonts w:asciiTheme="majorBidi" w:hAnsiTheme="majorBidi" w:cstheme="majorBidi"/>
          <w:sz w:val="20"/>
          <w:szCs w:val="20"/>
        </w:rPr>
        <w:instrText>https://doi.org/10.2139/ssrn.2403915</w:instrText>
      </w:r>
      <w:r>
        <w:rPr>
          <w:rFonts w:asciiTheme="majorBidi" w:hAnsiTheme="majorBidi" w:cstheme="majorBidi"/>
          <w:sz w:val="20"/>
          <w:szCs w:val="20"/>
        </w:rPr>
        <w:instrText xml:space="preserve">" </w:instrText>
      </w:r>
      <w:r>
        <w:rPr>
          <w:rFonts w:asciiTheme="majorBidi" w:hAnsiTheme="majorBidi" w:cstheme="majorBidi"/>
          <w:sz w:val="20"/>
          <w:szCs w:val="20"/>
        </w:rPr>
        <w:fldChar w:fldCharType="separate"/>
      </w:r>
      <w:r w:rsidRPr="00E953A6">
        <w:rPr>
          <w:rStyle w:val="Hyperlink"/>
          <w:rFonts w:asciiTheme="majorBidi" w:hAnsiTheme="majorBidi" w:cstheme="majorBidi"/>
          <w:sz w:val="20"/>
          <w:szCs w:val="20"/>
        </w:rPr>
        <w:t>https://doi.org/10.2139/ssrn.2403915</w:t>
      </w:r>
      <w:r>
        <w:rPr>
          <w:rFonts w:asciiTheme="majorBidi" w:hAnsiTheme="majorBidi" w:cstheme="majorBidi"/>
          <w:sz w:val="20"/>
          <w:szCs w:val="20"/>
        </w:rPr>
        <w:fldChar w:fldCharType="end"/>
      </w:r>
      <w:r>
        <w:rPr>
          <w:rFonts w:asciiTheme="majorBidi" w:hAnsiTheme="majorBidi" w:cstheme="majorBidi"/>
          <w:sz w:val="20"/>
          <w:szCs w:val="20"/>
        </w:rPr>
        <w:t xml:space="preserve">. </w:t>
      </w:r>
    </w:p>
    <w:p w14:paraId="29B457A4" w14:textId="77777777" w:rsidR="006E4B3F" w:rsidRDefault="006E4B3F" w:rsidP="006E4B3F">
      <w:pPr>
        <w:rPr>
          <w:rFonts w:asciiTheme="majorBidi" w:hAnsiTheme="majorBidi" w:cstheme="majorBidi"/>
          <w:sz w:val="20"/>
          <w:szCs w:val="20"/>
          <w:rtl/>
        </w:rPr>
      </w:pPr>
      <w:proofErr w:type="spellStart"/>
      <w:r w:rsidRPr="00BC4BD7">
        <w:rPr>
          <w:rFonts w:asciiTheme="majorBidi" w:hAnsiTheme="majorBidi" w:cstheme="majorBidi"/>
          <w:sz w:val="20"/>
          <w:szCs w:val="20"/>
        </w:rPr>
        <w:t>Krivogorsky</w:t>
      </w:r>
      <w:proofErr w:type="spellEnd"/>
      <w:r w:rsidRPr="00BC4BD7">
        <w:rPr>
          <w:rFonts w:asciiTheme="majorBidi" w:hAnsiTheme="majorBidi" w:cstheme="majorBidi"/>
          <w:sz w:val="20"/>
          <w:szCs w:val="20"/>
        </w:rPr>
        <w:t xml:space="preserve">, V and G., </w:t>
      </w:r>
      <w:proofErr w:type="spellStart"/>
      <w:r w:rsidRPr="00BC4BD7">
        <w:rPr>
          <w:rFonts w:asciiTheme="majorBidi" w:hAnsiTheme="majorBidi" w:cstheme="majorBidi"/>
          <w:sz w:val="20"/>
          <w:szCs w:val="20"/>
        </w:rPr>
        <w:t>Grudnitski</w:t>
      </w:r>
      <w:proofErr w:type="spellEnd"/>
      <w:r w:rsidRPr="00BC4BD7">
        <w:rPr>
          <w:rFonts w:asciiTheme="majorBidi" w:hAnsiTheme="majorBidi" w:cstheme="majorBidi"/>
          <w:sz w:val="20"/>
          <w:szCs w:val="20"/>
        </w:rPr>
        <w:t xml:space="preserve"> (2010). Country-specific institutional effects on ownership: concentration and performance of continental European firms. Journal of Management &amp; Governance, Volume 14, Issue 2, pp 167–193.</w:t>
      </w:r>
      <w:r>
        <w:rPr>
          <w:rFonts w:asciiTheme="majorBidi" w:hAnsiTheme="majorBidi" w:cstheme="majorBidi"/>
          <w:sz w:val="20"/>
          <w:szCs w:val="20"/>
        </w:rPr>
        <w:t xml:space="preserve"> </w:t>
      </w:r>
      <w:hyperlink r:id="rId63" w:history="1">
        <w:r w:rsidRPr="00E953A6">
          <w:rPr>
            <w:rStyle w:val="Hyperlink"/>
            <w:rFonts w:asciiTheme="majorBidi" w:hAnsiTheme="majorBidi" w:cstheme="majorBidi"/>
            <w:sz w:val="20"/>
            <w:szCs w:val="20"/>
          </w:rPr>
          <w:t>https://doi.org/10.1007/s10997-009-9097-6</w:t>
        </w:r>
      </w:hyperlink>
      <w:r>
        <w:rPr>
          <w:rFonts w:asciiTheme="majorBidi" w:hAnsiTheme="majorBidi" w:cstheme="majorBidi"/>
          <w:sz w:val="20"/>
          <w:szCs w:val="20"/>
        </w:rPr>
        <w:t xml:space="preserve">. </w:t>
      </w:r>
    </w:p>
    <w:p w14:paraId="0692F4F1" w14:textId="77777777" w:rsidR="006E4B3F" w:rsidRDefault="006E4B3F" w:rsidP="006E4B3F">
      <w:pPr>
        <w:jc w:val="both"/>
        <w:rPr>
          <w:rFonts w:asciiTheme="majorBidi" w:hAnsiTheme="majorBidi" w:cstheme="majorBidi"/>
          <w:sz w:val="20"/>
          <w:szCs w:val="20"/>
        </w:rPr>
      </w:pPr>
      <w:bookmarkStart w:id="53" w:name="w28"/>
      <w:bookmarkEnd w:id="52"/>
      <w:r w:rsidRPr="00BC4BD7">
        <w:rPr>
          <w:rFonts w:asciiTheme="majorBidi" w:hAnsiTheme="majorBidi" w:cstheme="majorBidi"/>
          <w:sz w:val="20"/>
          <w:szCs w:val="20"/>
        </w:rPr>
        <w:t>Lau, Y. W. and C. Q. Tong (2008). Are Malaysian Government-Linked Companies (GLCs) Creating Value? International Applied Economics and Management Letters 1(1): 9-12.</w:t>
      </w:r>
    </w:p>
    <w:p w14:paraId="4ECB642B" w14:textId="77777777" w:rsidR="006E4B3F" w:rsidRDefault="006E4B3F" w:rsidP="006E4B3F">
      <w:pPr>
        <w:jc w:val="both"/>
        <w:rPr>
          <w:rFonts w:asciiTheme="majorBidi" w:hAnsiTheme="majorBidi" w:cstheme="majorBidi"/>
          <w:sz w:val="20"/>
          <w:szCs w:val="20"/>
        </w:rPr>
      </w:pPr>
      <w:bookmarkStart w:id="54" w:name="w15"/>
      <w:bookmarkEnd w:id="53"/>
      <w:r w:rsidRPr="00334512">
        <w:rPr>
          <w:rFonts w:asciiTheme="majorBidi" w:hAnsiTheme="majorBidi" w:cstheme="majorBidi"/>
          <w:sz w:val="20"/>
          <w:szCs w:val="20"/>
        </w:rPr>
        <w:t>Law, K. K. F., &amp; Mills, L. F. (2015). Taxes and financial constraints: Evidence from linguistic cues. Journal of Accounting Research, 53(4), 777-819</w:t>
      </w:r>
      <w:r>
        <w:rPr>
          <w:rFonts w:asciiTheme="majorBidi" w:hAnsiTheme="majorBidi" w:cstheme="majorBidi"/>
          <w:sz w:val="20"/>
          <w:szCs w:val="20"/>
        </w:rPr>
        <w:t xml:space="preserve">. </w:t>
      </w:r>
      <w:hyperlink r:id="rId64" w:history="1">
        <w:r w:rsidRPr="00E953A6">
          <w:rPr>
            <w:rStyle w:val="Hyperlink"/>
            <w:rFonts w:asciiTheme="majorBidi" w:hAnsiTheme="majorBidi" w:cstheme="majorBidi"/>
            <w:sz w:val="20"/>
            <w:szCs w:val="20"/>
          </w:rPr>
          <w:t>https://doi.org/10.1111/1475-679X.12081</w:t>
        </w:r>
      </w:hyperlink>
      <w:r>
        <w:rPr>
          <w:rFonts w:asciiTheme="majorBidi" w:hAnsiTheme="majorBidi" w:cstheme="majorBidi"/>
          <w:sz w:val="20"/>
          <w:szCs w:val="20"/>
        </w:rPr>
        <w:t xml:space="preserve">. </w:t>
      </w:r>
    </w:p>
    <w:p w14:paraId="6BCE9C50" w14:textId="77777777" w:rsidR="006E4B3F" w:rsidRDefault="006E4B3F" w:rsidP="006E4B3F">
      <w:pPr>
        <w:jc w:val="both"/>
        <w:rPr>
          <w:rFonts w:asciiTheme="majorBidi" w:hAnsiTheme="majorBidi" w:cstheme="majorBidi"/>
          <w:sz w:val="20"/>
          <w:szCs w:val="20"/>
        </w:rPr>
      </w:pPr>
      <w:bookmarkStart w:id="55" w:name="w74"/>
      <w:r w:rsidRPr="007B7F8D">
        <w:rPr>
          <w:rFonts w:asciiTheme="majorBidi" w:hAnsiTheme="majorBidi" w:cstheme="majorBidi"/>
          <w:sz w:val="20"/>
          <w:szCs w:val="20"/>
        </w:rPr>
        <w:t xml:space="preserve">Lehn, K. and </w:t>
      </w:r>
      <w:proofErr w:type="spellStart"/>
      <w:r w:rsidRPr="007B7F8D">
        <w:rPr>
          <w:rFonts w:asciiTheme="majorBidi" w:hAnsiTheme="majorBidi" w:cstheme="majorBidi"/>
          <w:sz w:val="20"/>
          <w:szCs w:val="20"/>
        </w:rPr>
        <w:t>Poulsen</w:t>
      </w:r>
      <w:proofErr w:type="spellEnd"/>
      <w:r w:rsidRPr="007B7F8D">
        <w:rPr>
          <w:rFonts w:asciiTheme="majorBidi" w:hAnsiTheme="majorBidi" w:cstheme="majorBidi"/>
          <w:sz w:val="20"/>
          <w:szCs w:val="20"/>
        </w:rPr>
        <w:t xml:space="preserve">, A. (1989). Free cash flow and stockholder gains in going private transactions. The Journal of Finance, 44(3), 771-787. </w:t>
      </w:r>
      <w:hyperlink r:id="rId65" w:history="1">
        <w:r w:rsidRPr="00AE3F58">
          <w:rPr>
            <w:rStyle w:val="Hyperlink"/>
            <w:rFonts w:asciiTheme="majorBidi" w:hAnsiTheme="majorBidi" w:cstheme="majorBidi"/>
            <w:sz w:val="20"/>
            <w:szCs w:val="20"/>
          </w:rPr>
          <w:t>https://doi.org/10.1111/j.15406261.1989.tb04390.x</w:t>
        </w:r>
      </w:hyperlink>
      <w:r>
        <w:rPr>
          <w:rFonts w:asciiTheme="majorBidi" w:hAnsiTheme="majorBidi" w:cstheme="majorBidi"/>
          <w:sz w:val="20"/>
          <w:szCs w:val="20"/>
        </w:rPr>
        <w:t>.</w:t>
      </w:r>
    </w:p>
    <w:p w14:paraId="704F88F8" w14:textId="77777777" w:rsidR="006E4B3F" w:rsidRPr="00BC4BD7" w:rsidRDefault="006E4B3F" w:rsidP="006E4B3F">
      <w:pPr>
        <w:jc w:val="both"/>
        <w:rPr>
          <w:rFonts w:asciiTheme="majorBidi" w:hAnsiTheme="majorBidi" w:cstheme="majorBidi"/>
          <w:sz w:val="20"/>
          <w:szCs w:val="20"/>
          <w:rtl/>
        </w:rPr>
      </w:pPr>
      <w:bookmarkStart w:id="56" w:name="w33"/>
      <w:bookmarkEnd w:id="55"/>
      <w:r w:rsidRPr="00B87EEF">
        <w:rPr>
          <w:rFonts w:asciiTheme="majorBidi" w:hAnsiTheme="majorBidi" w:cstheme="majorBidi"/>
          <w:sz w:val="20"/>
          <w:szCs w:val="20"/>
        </w:rPr>
        <w:t xml:space="preserve">Li, Q. and Liang, G. (2012). Political Relations and Chinese Outbound Direct Investment: Evidence from Firm- and Dyadic-Level Tests. Research Center for Chinese Politics and Business Working Paper No. 19, </w:t>
      </w:r>
      <w:hyperlink r:id="rId66" w:history="1">
        <w:r w:rsidRPr="00E953A6">
          <w:rPr>
            <w:rStyle w:val="Hyperlink"/>
            <w:rFonts w:asciiTheme="majorBidi" w:hAnsiTheme="majorBidi" w:cstheme="majorBidi"/>
            <w:sz w:val="20"/>
            <w:szCs w:val="20"/>
          </w:rPr>
          <w:t>http://dx.doi.org/10.2139/ssrn.2169805</w:t>
        </w:r>
      </w:hyperlink>
      <w:r w:rsidRPr="00B87EEF">
        <w:rPr>
          <w:rFonts w:asciiTheme="majorBidi" w:hAnsiTheme="majorBidi" w:cstheme="majorBidi"/>
          <w:sz w:val="20"/>
          <w:szCs w:val="20"/>
        </w:rPr>
        <w:t>.</w:t>
      </w:r>
      <w:r>
        <w:rPr>
          <w:rFonts w:asciiTheme="majorBidi" w:hAnsiTheme="majorBidi" w:cstheme="majorBidi"/>
          <w:sz w:val="20"/>
          <w:szCs w:val="20"/>
        </w:rPr>
        <w:t xml:space="preserve"> </w:t>
      </w:r>
    </w:p>
    <w:p w14:paraId="36467F1E" w14:textId="77777777" w:rsidR="006E4B3F" w:rsidRPr="00BC4BD7" w:rsidRDefault="006E4B3F" w:rsidP="006E4B3F">
      <w:pPr>
        <w:jc w:val="both"/>
        <w:rPr>
          <w:rFonts w:asciiTheme="majorBidi" w:hAnsiTheme="majorBidi" w:cstheme="majorBidi"/>
          <w:sz w:val="20"/>
          <w:szCs w:val="20"/>
          <w:rtl/>
        </w:rPr>
      </w:pPr>
      <w:bookmarkStart w:id="57" w:name="w46"/>
      <w:bookmarkEnd w:id="54"/>
      <w:bookmarkEnd w:id="56"/>
      <w:proofErr w:type="spellStart"/>
      <w:proofErr w:type="gramStart"/>
      <w:r w:rsidRPr="00BC4BD7">
        <w:rPr>
          <w:rFonts w:asciiTheme="majorBidi" w:hAnsiTheme="majorBidi" w:cstheme="majorBidi"/>
          <w:sz w:val="20"/>
          <w:szCs w:val="20"/>
        </w:rPr>
        <w:t>Liu,L</w:t>
      </w:r>
      <w:proofErr w:type="spellEnd"/>
      <w:proofErr w:type="gramEnd"/>
      <w:r w:rsidRPr="00BC4BD7">
        <w:rPr>
          <w:rFonts w:asciiTheme="majorBidi" w:hAnsiTheme="majorBidi" w:cstheme="majorBidi"/>
          <w:sz w:val="20"/>
          <w:szCs w:val="20"/>
        </w:rPr>
        <w:t xml:space="preserve"> and N </w:t>
      </w:r>
      <w:proofErr w:type="spellStart"/>
      <w:r w:rsidRPr="00BC4BD7">
        <w:rPr>
          <w:rFonts w:asciiTheme="majorBidi" w:hAnsiTheme="majorBidi" w:cstheme="majorBidi"/>
          <w:sz w:val="20"/>
          <w:szCs w:val="20"/>
        </w:rPr>
        <w:t>Subramaniam</w:t>
      </w:r>
      <w:proofErr w:type="spellEnd"/>
      <w:r w:rsidRPr="00BC4BD7">
        <w:rPr>
          <w:rFonts w:asciiTheme="majorBidi" w:hAnsiTheme="majorBidi" w:cstheme="majorBidi"/>
          <w:sz w:val="20"/>
          <w:szCs w:val="20"/>
        </w:rPr>
        <w:t xml:space="preserve"> (2013). Government ownership, audit firm size and audit pricing: Evidence from China. Journal of Accounting and Public Policy, Volume 32, Issue 2, Pages 161-175.</w:t>
      </w:r>
      <w:r>
        <w:rPr>
          <w:rFonts w:asciiTheme="majorBidi" w:hAnsiTheme="majorBidi" w:cstheme="majorBidi"/>
          <w:sz w:val="20"/>
          <w:szCs w:val="20"/>
        </w:rPr>
        <w:t xml:space="preserve"> </w:t>
      </w:r>
      <w:hyperlink r:id="rId67" w:history="1">
        <w:r w:rsidRPr="00E953A6">
          <w:rPr>
            <w:rStyle w:val="Hyperlink"/>
            <w:rFonts w:asciiTheme="majorBidi" w:hAnsiTheme="majorBidi" w:cstheme="majorBidi"/>
            <w:sz w:val="20"/>
            <w:szCs w:val="20"/>
          </w:rPr>
          <w:t>https://doi.org/10.1016/j.jaccpubpol.2012.11.004</w:t>
        </w:r>
      </w:hyperlink>
      <w:r>
        <w:rPr>
          <w:rFonts w:asciiTheme="majorBidi" w:hAnsiTheme="majorBidi" w:cstheme="majorBidi"/>
          <w:sz w:val="20"/>
          <w:szCs w:val="20"/>
        </w:rPr>
        <w:t xml:space="preserve">. </w:t>
      </w:r>
    </w:p>
    <w:bookmarkEnd w:id="57"/>
    <w:p w14:paraId="49876077" w14:textId="77777777" w:rsidR="006E4B3F" w:rsidRPr="00BC4BD7" w:rsidRDefault="006E4B3F" w:rsidP="006E4B3F">
      <w:pPr>
        <w:jc w:val="both"/>
        <w:rPr>
          <w:rFonts w:asciiTheme="majorBidi" w:hAnsiTheme="majorBidi" w:cstheme="majorBidi"/>
          <w:sz w:val="20"/>
          <w:szCs w:val="20"/>
          <w:rtl/>
        </w:rPr>
      </w:pPr>
      <w:r w:rsidRPr="00BC4BD7">
        <w:rPr>
          <w:rFonts w:asciiTheme="majorBidi" w:hAnsiTheme="majorBidi" w:cstheme="majorBidi"/>
          <w:sz w:val="20"/>
          <w:szCs w:val="20"/>
        </w:rPr>
        <w:lastRenderedPageBreak/>
        <w:t xml:space="preserve">Luis </w:t>
      </w:r>
      <w:proofErr w:type="spellStart"/>
      <w:r w:rsidRPr="00BC4BD7">
        <w:rPr>
          <w:rFonts w:asciiTheme="majorBidi" w:hAnsiTheme="majorBidi" w:cstheme="majorBidi"/>
          <w:sz w:val="20"/>
          <w:szCs w:val="20"/>
        </w:rPr>
        <w:t>Gallizo</w:t>
      </w:r>
      <w:proofErr w:type="spellEnd"/>
      <w:r w:rsidRPr="00BC4BD7">
        <w:rPr>
          <w:rFonts w:asciiTheme="majorBidi" w:hAnsiTheme="majorBidi" w:cstheme="majorBidi"/>
          <w:sz w:val="20"/>
          <w:szCs w:val="20"/>
        </w:rPr>
        <w:t xml:space="preserve">, J and R, </w:t>
      </w:r>
      <w:proofErr w:type="spellStart"/>
      <w:r w:rsidRPr="00BC4BD7">
        <w:rPr>
          <w:rFonts w:asciiTheme="majorBidi" w:hAnsiTheme="majorBidi" w:cstheme="majorBidi"/>
          <w:sz w:val="20"/>
          <w:szCs w:val="20"/>
        </w:rPr>
        <w:t>Saladrigues</w:t>
      </w:r>
      <w:proofErr w:type="spellEnd"/>
      <w:r w:rsidRPr="00BC4BD7">
        <w:rPr>
          <w:rFonts w:asciiTheme="majorBidi" w:hAnsiTheme="majorBidi" w:cstheme="majorBidi"/>
          <w:sz w:val="20"/>
          <w:szCs w:val="20"/>
        </w:rPr>
        <w:t xml:space="preserve"> (2016). An analysis of determinants of going concern audit opinion: Evidence from Spain stock exchange. Intangible Capital, Vol 12, No 1, DOI: </w:t>
      </w:r>
      <w:hyperlink r:id="rId68" w:history="1">
        <w:r w:rsidRPr="00BC4BD7">
          <w:rPr>
            <w:rStyle w:val="Hyperlink"/>
            <w:rFonts w:asciiTheme="majorBidi" w:hAnsiTheme="majorBidi" w:cstheme="majorBidi"/>
            <w:sz w:val="20"/>
            <w:szCs w:val="20"/>
          </w:rPr>
          <w:t>http://dx.doi.org/10.3926/ic.683</w:t>
        </w:r>
      </w:hyperlink>
      <w:r w:rsidRPr="00BC4BD7">
        <w:rPr>
          <w:rFonts w:asciiTheme="majorBidi" w:hAnsiTheme="majorBidi" w:cstheme="majorBidi"/>
          <w:sz w:val="20"/>
          <w:szCs w:val="20"/>
        </w:rPr>
        <w:t>.</w:t>
      </w:r>
    </w:p>
    <w:p w14:paraId="698C8268" w14:textId="77777777" w:rsidR="006E4B3F" w:rsidRPr="00BC4BD7" w:rsidRDefault="006E4B3F" w:rsidP="006E4B3F">
      <w:pPr>
        <w:jc w:val="both"/>
        <w:rPr>
          <w:rFonts w:asciiTheme="majorBidi" w:hAnsiTheme="majorBidi" w:cstheme="majorBidi"/>
          <w:sz w:val="20"/>
          <w:szCs w:val="20"/>
          <w:rtl/>
        </w:rPr>
      </w:pPr>
      <w:bookmarkStart w:id="58" w:name="w17"/>
      <w:proofErr w:type="spellStart"/>
      <w:r w:rsidRPr="00BC4BD7">
        <w:rPr>
          <w:rFonts w:asciiTheme="majorBidi" w:hAnsiTheme="majorBidi" w:cstheme="majorBidi"/>
          <w:sz w:val="20"/>
          <w:szCs w:val="20"/>
        </w:rPr>
        <w:t>Mafrolla</w:t>
      </w:r>
      <w:proofErr w:type="spellEnd"/>
      <w:r w:rsidRPr="00BC4BD7">
        <w:rPr>
          <w:rFonts w:asciiTheme="majorBidi" w:hAnsiTheme="majorBidi" w:cstheme="majorBidi"/>
          <w:sz w:val="20"/>
          <w:szCs w:val="20"/>
        </w:rPr>
        <w:t>, E. (2019). Tax avoidance in government-owned firms: Evidence from Italy. Journal Public Money &amp; Management, Volume 39, Issue 3, Pages 186-192.</w:t>
      </w:r>
      <w:r>
        <w:rPr>
          <w:rFonts w:asciiTheme="majorBidi" w:hAnsiTheme="majorBidi" w:cstheme="majorBidi"/>
          <w:sz w:val="20"/>
          <w:szCs w:val="20"/>
        </w:rPr>
        <w:t xml:space="preserve"> </w:t>
      </w:r>
      <w:hyperlink r:id="rId69" w:history="1">
        <w:r w:rsidRPr="00E953A6">
          <w:rPr>
            <w:rStyle w:val="Hyperlink"/>
            <w:rFonts w:asciiTheme="majorBidi" w:hAnsiTheme="majorBidi" w:cstheme="majorBidi"/>
            <w:sz w:val="20"/>
            <w:szCs w:val="20"/>
          </w:rPr>
          <w:t>https://doi.org/10.1080/09540962.2018.1516955</w:t>
        </w:r>
      </w:hyperlink>
      <w:r>
        <w:rPr>
          <w:rFonts w:asciiTheme="majorBidi" w:hAnsiTheme="majorBidi" w:cstheme="majorBidi"/>
          <w:sz w:val="20"/>
          <w:szCs w:val="20"/>
        </w:rPr>
        <w:t xml:space="preserve">. </w:t>
      </w:r>
    </w:p>
    <w:p w14:paraId="4E73AD11" w14:textId="77777777" w:rsidR="006E4B3F" w:rsidRPr="00BC4BD7" w:rsidRDefault="006E4B3F" w:rsidP="006E4B3F">
      <w:pPr>
        <w:jc w:val="both"/>
        <w:rPr>
          <w:rFonts w:asciiTheme="majorBidi" w:hAnsiTheme="majorBidi" w:cstheme="majorBidi"/>
          <w:sz w:val="20"/>
          <w:szCs w:val="20"/>
          <w:rtl/>
        </w:rPr>
      </w:pPr>
      <w:bookmarkStart w:id="59" w:name="w38"/>
      <w:bookmarkEnd w:id="58"/>
      <w:proofErr w:type="spellStart"/>
      <w:r w:rsidRPr="00BC4BD7">
        <w:rPr>
          <w:rFonts w:asciiTheme="majorBidi" w:hAnsiTheme="majorBidi" w:cstheme="majorBidi"/>
          <w:sz w:val="20"/>
          <w:szCs w:val="20"/>
        </w:rPr>
        <w:t>Mahenthrian</w:t>
      </w:r>
      <w:proofErr w:type="spellEnd"/>
      <w:r w:rsidRPr="00BC4BD7">
        <w:rPr>
          <w:rFonts w:asciiTheme="majorBidi" w:hAnsiTheme="majorBidi" w:cstheme="majorBidi"/>
          <w:sz w:val="20"/>
          <w:szCs w:val="20"/>
        </w:rPr>
        <w:t xml:space="preserve">, S., &amp; </w:t>
      </w:r>
      <w:proofErr w:type="spellStart"/>
      <w:r w:rsidRPr="00BC4BD7">
        <w:rPr>
          <w:rFonts w:asciiTheme="majorBidi" w:hAnsiTheme="majorBidi" w:cstheme="majorBidi"/>
          <w:sz w:val="20"/>
          <w:szCs w:val="20"/>
        </w:rPr>
        <w:t>Kasipillai</w:t>
      </w:r>
      <w:proofErr w:type="spellEnd"/>
      <w:r w:rsidRPr="00BC4BD7">
        <w:rPr>
          <w:rFonts w:asciiTheme="majorBidi" w:hAnsiTheme="majorBidi" w:cstheme="majorBidi"/>
          <w:sz w:val="20"/>
          <w:szCs w:val="20"/>
        </w:rPr>
        <w:t>, J. (2012). Influence of ownership structure and corporate governance on effective tax rates and tax planning: Malaysian evidence. SSRN Electronic Journal, 27(4), 941-969.</w:t>
      </w:r>
      <w:r>
        <w:rPr>
          <w:rFonts w:asciiTheme="majorBidi" w:hAnsiTheme="majorBidi" w:cstheme="majorBidi"/>
          <w:sz w:val="20"/>
          <w:szCs w:val="20"/>
        </w:rPr>
        <w:t xml:space="preserve"> </w:t>
      </w:r>
      <w:hyperlink r:id="rId70" w:history="1">
        <w:r w:rsidRPr="00E953A6">
          <w:rPr>
            <w:rStyle w:val="Hyperlink"/>
            <w:rFonts w:asciiTheme="majorBidi" w:hAnsiTheme="majorBidi" w:cstheme="majorBidi"/>
            <w:sz w:val="20"/>
            <w:szCs w:val="20"/>
          </w:rPr>
          <w:t>https://doi.org/10.2139/ssrn.2384718</w:t>
        </w:r>
      </w:hyperlink>
      <w:r>
        <w:rPr>
          <w:rFonts w:asciiTheme="majorBidi" w:hAnsiTheme="majorBidi" w:cstheme="majorBidi"/>
          <w:sz w:val="20"/>
          <w:szCs w:val="20"/>
        </w:rPr>
        <w:t xml:space="preserve">. </w:t>
      </w:r>
    </w:p>
    <w:p w14:paraId="46C3447C" w14:textId="77777777" w:rsidR="006E4B3F" w:rsidRDefault="006E4B3F" w:rsidP="006E4B3F">
      <w:pPr>
        <w:jc w:val="both"/>
        <w:rPr>
          <w:rFonts w:asciiTheme="majorBidi" w:hAnsiTheme="majorBidi" w:cstheme="majorBidi"/>
          <w:sz w:val="20"/>
          <w:szCs w:val="20"/>
          <w:rtl/>
          <w:lang w:bidi="fa-IR"/>
        </w:rPr>
      </w:pPr>
      <w:bookmarkStart w:id="60" w:name="w37"/>
      <w:bookmarkEnd w:id="59"/>
      <w:r>
        <w:rPr>
          <w:rFonts w:asciiTheme="majorBidi" w:hAnsiTheme="majorBidi" w:cstheme="majorBidi"/>
          <w:sz w:val="20"/>
          <w:szCs w:val="20"/>
        </w:rPr>
        <w:t xml:space="preserve">Martinez, </w:t>
      </w:r>
      <w:r w:rsidRPr="00BC4BD7">
        <w:rPr>
          <w:rFonts w:asciiTheme="majorBidi" w:hAnsiTheme="majorBidi" w:cstheme="majorBidi"/>
          <w:sz w:val="20"/>
          <w:szCs w:val="20"/>
        </w:rPr>
        <w:t>A L and F P, Motta (</w:t>
      </w:r>
      <w:r>
        <w:rPr>
          <w:rFonts w:asciiTheme="majorBidi" w:hAnsiTheme="majorBidi" w:cstheme="majorBidi"/>
          <w:sz w:val="20"/>
          <w:szCs w:val="20"/>
        </w:rPr>
        <w:t>2020</w:t>
      </w:r>
      <w:r w:rsidRPr="00BC4BD7">
        <w:rPr>
          <w:rFonts w:asciiTheme="majorBidi" w:hAnsiTheme="majorBidi" w:cstheme="majorBidi"/>
          <w:sz w:val="20"/>
          <w:szCs w:val="20"/>
        </w:rPr>
        <w:t xml:space="preserve">). Tax Aggressiveness of Government-Controlled Corporations in Brazil. </w:t>
      </w:r>
      <w:proofErr w:type="spellStart"/>
      <w:r w:rsidRPr="00BE3816">
        <w:rPr>
          <w:rFonts w:asciiTheme="majorBidi" w:hAnsiTheme="majorBidi" w:cstheme="majorBidi"/>
          <w:sz w:val="20"/>
          <w:szCs w:val="20"/>
        </w:rPr>
        <w:t>Revista</w:t>
      </w:r>
      <w:proofErr w:type="spellEnd"/>
      <w:r w:rsidRPr="00BE3816">
        <w:rPr>
          <w:rFonts w:asciiTheme="majorBidi" w:hAnsiTheme="majorBidi" w:cstheme="majorBidi"/>
          <w:sz w:val="20"/>
          <w:szCs w:val="20"/>
        </w:rPr>
        <w:t xml:space="preserve"> </w:t>
      </w:r>
      <w:proofErr w:type="spellStart"/>
      <w:r w:rsidRPr="00BE3816">
        <w:rPr>
          <w:rFonts w:asciiTheme="majorBidi" w:hAnsiTheme="majorBidi" w:cstheme="majorBidi"/>
          <w:sz w:val="20"/>
          <w:szCs w:val="20"/>
        </w:rPr>
        <w:t>Contemporânea</w:t>
      </w:r>
      <w:proofErr w:type="spellEnd"/>
      <w:r w:rsidRPr="00BE3816">
        <w:rPr>
          <w:rFonts w:asciiTheme="majorBidi" w:hAnsiTheme="majorBidi" w:cstheme="majorBidi"/>
          <w:sz w:val="20"/>
          <w:szCs w:val="20"/>
        </w:rPr>
        <w:t xml:space="preserve"> de </w:t>
      </w:r>
      <w:proofErr w:type="spellStart"/>
      <w:r w:rsidRPr="00BE3816">
        <w:rPr>
          <w:rFonts w:asciiTheme="majorBidi" w:hAnsiTheme="majorBidi" w:cstheme="majorBidi"/>
          <w:sz w:val="20"/>
          <w:szCs w:val="20"/>
        </w:rPr>
        <w:t>Contabilidade</w:t>
      </w:r>
      <w:proofErr w:type="spellEnd"/>
      <w:r w:rsidRPr="00BE3816">
        <w:rPr>
          <w:rFonts w:asciiTheme="majorBidi" w:hAnsiTheme="majorBidi" w:cstheme="majorBidi"/>
          <w:sz w:val="20"/>
          <w:szCs w:val="20"/>
        </w:rPr>
        <w:t>, Vol. 17 Issue 43, p136-148. 13p</w:t>
      </w:r>
      <w:r w:rsidRPr="00BC4BD7">
        <w:rPr>
          <w:rFonts w:asciiTheme="majorBidi" w:hAnsiTheme="majorBidi" w:cstheme="majorBidi"/>
          <w:sz w:val="20"/>
          <w:szCs w:val="20"/>
          <w:rtl/>
        </w:rPr>
        <w:t>.</w:t>
      </w:r>
      <w:r>
        <w:rPr>
          <w:rFonts w:asciiTheme="majorBidi" w:hAnsiTheme="majorBidi" w:cstheme="majorBidi"/>
          <w:sz w:val="20"/>
          <w:szCs w:val="20"/>
          <w:lang w:bidi="fa-IR"/>
        </w:rPr>
        <w:t xml:space="preserve"> </w:t>
      </w:r>
      <w:hyperlink r:id="rId71" w:history="1">
        <w:r w:rsidRPr="00E953A6">
          <w:rPr>
            <w:rStyle w:val="Hyperlink"/>
            <w:rFonts w:asciiTheme="majorBidi" w:hAnsiTheme="majorBidi" w:cstheme="majorBidi"/>
            <w:sz w:val="20"/>
            <w:szCs w:val="20"/>
            <w:lang w:bidi="fa-IR"/>
          </w:rPr>
          <w:t>https://doi.org/10.5007/2175-8069.2020v17n43p136</w:t>
        </w:r>
      </w:hyperlink>
      <w:r>
        <w:rPr>
          <w:rFonts w:asciiTheme="majorBidi" w:hAnsiTheme="majorBidi" w:cstheme="majorBidi"/>
          <w:sz w:val="20"/>
          <w:szCs w:val="20"/>
          <w:lang w:bidi="fa-IR"/>
        </w:rPr>
        <w:t xml:space="preserve">. </w:t>
      </w:r>
    </w:p>
    <w:p w14:paraId="4C2724AF" w14:textId="77777777" w:rsidR="006E4B3F" w:rsidRPr="00E00EFE" w:rsidRDefault="006E4B3F" w:rsidP="006E4B3F">
      <w:pPr>
        <w:jc w:val="both"/>
        <w:rPr>
          <w:rFonts w:asciiTheme="majorBidi" w:hAnsiTheme="majorBidi" w:cstheme="majorBidi"/>
          <w:sz w:val="20"/>
          <w:szCs w:val="20"/>
          <w:rtl/>
          <w:lang w:bidi="fa-IR"/>
        </w:rPr>
      </w:pPr>
      <w:bookmarkStart w:id="61" w:name="w60"/>
      <w:bookmarkEnd w:id="60"/>
      <w:r w:rsidRPr="00F6779F">
        <w:rPr>
          <w:rFonts w:asciiTheme="majorBidi" w:hAnsiTheme="majorBidi" w:cstheme="majorBidi"/>
          <w:sz w:val="20"/>
          <w:szCs w:val="20"/>
          <w:lang w:bidi="fa-IR"/>
        </w:rPr>
        <w:t>Miller, M.E., Hui, S.L. and Tierney, W.M. (1991), Validation techniques for logistic regression models. Statist. Med., 10: 1213-1226.</w:t>
      </w:r>
      <w:r>
        <w:rPr>
          <w:rFonts w:asciiTheme="majorBidi" w:hAnsiTheme="majorBidi" w:cstheme="majorBidi"/>
          <w:sz w:val="20"/>
          <w:szCs w:val="20"/>
          <w:lang w:bidi="fa-IR"/>
        </w:rPr>
        <w:t xml:space="preserve"> </w:t>
      </w:r>
      <w:hyperlink r:id="rId72" w:history="1">
        <w:r w:rsidRPr="00E953A6">
          <w:rPr>
            <w:rStyle w:val="Hyperlink"/>
            <w:rFonts w:asciiTheme="majorBidi" w:hAnsiTheme="majorBidi" w:cstheme="majorBidi"/>
            <w:sz w:val="20"/>
            <w:szCs w:val="20"/>
            <w:lang w:bidi="fa-IR"/>
          </w:rPr>
          <w:t>https://doi.org/10.1002/sim.4780100805</w:t>
        </w:r>
      </w:hyperlink>
      <w:r>
        <w:rPr>
          <w:rFonts w:asciiTheme="majorBidi" w:hAnsiTheme="majorBidi" w:cstheme="majorBidi"/>
          <w:sz w:val="20"/>
          <w:szCs w:val="20"/>
          <w:lang w:bidi="fa-IR"/>
        </w:rPr>
        <w:t xml:space="preserve">. </w:t>
      </w:r>
    </w:p>
    <w:bookmarkEnd w:id="61"/>
    <w:p w14:paraId="14B72D09" w14:textId="77777777" w:rsidR="006E4B3F" w:rsidRDefault="006E4B3F" w:rsidP="006E4B3F">
      <w:pPr>
        <w:rPr>
          <w:rFonts w:asciiTheme="majorBidi" w:hAnsiTheme="majorBidi" w:cstheme="majorBidi"/>
          <w:sz w:val="20"/>
          <w:szCs w:val="20"/>
        </w:rPr>
      </w:pPr>
      <w:r w:rsidRPr="00BC4BD7">
        <w:rPr>
          <w:rFonts w:asciiTheme="majorBidi" w:hAnsiTheme="majorBidi" w:cstheme="majorBidi"/>
          <w:sz w:val="20"/>
          <w:szCs w:val="20"/>
        </w:rPr>
        <w:t xml:space="preserve">Nilsson, O (2018).  The relationship between shareholder protection through regulation and the demand for external auditor services. International Journal of Disclosure and </w:t>
      </w:r>
      <w:proofErr w:type="spellStart"/>
      <w:proofErr w:type="gramStart"/>
      <w:r w:rsidRPr="00BC4BD7">
        <w:rPr>
          <w:rFonts w:asciiTheme="majorBidi" w:hAnsiTheme="majorBidi" w:cstheme="majorBidi"/>
          <w:sz w:val="20"/>
          <w:szCs w:val="20"/>
        </w:rPr>
        <w:t>Governance,Volume</w:t>
      </w:r>
      <w:proofErr w:type="spellEnd"/>
      <w:proofErr w:type="gramEnd"/>
      <w:r w:rsidRPr="00BC4BD7">
        <w:rPr>
          <w:rFonts w:asciiTheme="majorBidi" w:hAnsiTheme="majorBidi" w:cstheme="majorBidi"/>
          <w:sz w:val="20"/>
          <w:szCs w:val="20"/>
        </w:rPr>
        <w:t xml:space="preserve"> 15, Issue 3, pp 162–175.</w:t>
      </w:r>
      <w:r>
        <w:rPr>
          <w:rFonts w:asciiTheme="majorBidi" w:hAnsiTheme="majorBidi" w:cstheme="majorBidi"/>
          <w:sz w:val="20"/>
          <w:szCs w:val="20"/>
        </w:rPr>
        <w:t xml:space="preserve"> </w:t>
      </w:r>
      <w:hyperlink r:id="rId73" w:history="1">
        <w:r w:rsidRPr="00E953A6">
          <w:rPr>
            <w:rStyle w:val="Hyperlink"/>
            <w:rFonts w:asciiTheme="majorBidi" w:hAnsiTheme="majorBidi" w:cstheme="majorBidi"/>
            <w:sz w:val="20"/>
            <w:szCs w:val="20"/>
          </w:rPr>
          <w:t>https://doi.org/10.1057/s41310-018-0044-0</w:t>
        </w:r>
      </w:hyperlink>
      <w:r>
        <w:rPr>
          <w:rFonts w:asciiTheme="majorBidi" w:hAnsiTheme="majorBidi" w:cstheme="majorBidi"/>
          <w:sz w:val="20"/>
          <w:szCs w:val="20"/>
        </w:rPr>
        <w:t xml:space="preserve">. </w:t>
      </w:r>
    </w:p>
    <w:p w14:paraId="5247757B" w14:textId="77777777" w:rsidR="006E4B3F" w:rsidRDefault="006E4B3F" w:rsidP="006E4B3F">
      <w:pPr>
        <w:rPr>
          <w:rFonts w:asciiTheme="majorBidi" w:hAnsiTheme="majorBidi" w:cstheme="majorBidi"/>
          <w:sz w:val="20"/>
          <w:szCs w:val="20"/>
        </w:rPr>
      </w:pPr>
      <w:bookmarkStart w:id="62" w:name="w53"/>
      <w:proofErr w:type="spellStart"/>
      <w:r w:rsidRPr="008E5DC9">
        <w:rPr>
          <w:rFonts w:asciiTheme="majorBidi" w:hAnsiTheme="majorBidi" w:cstheme="majorBidi"/>
          <w:sz w:val="20"/>
          <w:szCs w:val="20"/>
        </w:rPr>
        <w:t>Oktaviyani</w:t>
      </w:r>
      <w:proofErr w:type="spellEnd"/>
      <w:r w:rsidRPr="008E5DC9">
        <w:rPr>
          <w:rFonts w:asciiTheme="majorBidi" w:hAnsiTheme="majorBidi" w:cstheme="majorBidi"/>
          <w:sz w:val="20"/>
          <w:szCs w:val="20"/>
        </w:rPr>
        <w:t xml:space="preserve">, R., </w:t>
      </w:r>
      <w:r>
        <w:rPr>
          <w:rFonts w:asciiTheme="majorBidi" w:hAnsiTheme="majorBidi" w:cstheme="majorBidi"/>
          <w:sz w:val="20"/>
          <w:szCs w:val="20"/>
        </w:rPr>
        <w:t>and</w:t>
      </w:r>
      <w:r w:rsidRPr="008E5DC9">
        <w:rPr>
          <w:rFonts w:asciiTheme="majorBidi" w:hAnsiTheme="majorBidi" w:cstheme="majorBidi"/>
          <w:sz w:val="20"/>
          <w:szCs w:val="20"/>
        </w:rPr>
        <w:t xml:space="preserve"> </w:t>
      </w:r>
      <w:proofErr w:type="spellStart"/>
      <w:r w:rsidRPr="008E5DC9">
        <w:rPr>
          <w:rFonts w:asciiTheme="majorBidi" w:hAnsiTheme="majorBidi" w:cstheme="majorBidi"/>
          <w:sz w:val="20"/>
          <w:szCs w:val="20"/>
        </w:rPr>
        <w:t>Munandar</w:t>
      </w:r>
      <w:proofErr w:type="spellEnd"/>
      <w:r w:rsidRPr="008E5DC9">
        <w:rPr>
          <w:rFonts w:asciiTheme="majorBidi" w:hAnsiTheme="majorBidi" w:cstheme="majorBidi"/>
          <w:sz w:val="20"/>
          <w:szCs w:val="20"/>
        </w:rPr>
        <w:t xml:space="preserve">, A. (2017). Effect of Solvency, Sales Growth, and Institutional Ownership on Tax Avoidance with Profitability as Moderating Variables in Indonesian Property and Real Estate Companies. </w:t>
      </w:r>
      <w:proofErr w:type="spellStart"/>
      <w:r w:rsidRPr="008E5DC9">
        <w:rPr>
          <w:rFonts w:asciiTheme="majorBidi" w:hAnsiTheme="majorBidi" w:cstheme="majorBidi"/>
          <w:sz w:val="20"/>
          <w:szCs w:val="20"/>
        </w:rPr>
        <w:t>Binus</w:t>
      </w:r>
      <w:proofErr w:type="spellEnd"/>
      <w:r w:rsidRPr="008E5DC9">
        <w:rPr>
          <w:rFonts w:asciiTheme="majorBidi" w:hAnsiTheme="majorBidi" w:cstheme="majorBidi"/>
          <w:sz w:val="20"/>
          <w:szCs w:val="20"/>
        </w:rPr>
        <w:t xml:space="preserve"> Business Review, 8(3), 183-188.</w:t>
      </w:r>
      <w:r>
        <w:rPr>
          <w:rFonts w:asciiTheme="majorBidi" w:hAnsiTheme="majorBidi" w:cstheme="majorBidi"/>
          <w:sz w:val="20"/>
          <w:szCs w:val="20"/>
        </w:rPr>
        <w:t xml:space="preserve"> </w:t>
      </w:r>
      <w:hyperlink r:id="rId74" w:history="1">
        <w:r w:rsidRPr="00E953A6">
          <w:rPr>
            <w:rStyle w:val="Hyperlink"/>
            <w:rFonts w:asciiTheme="majorBidi" w:hAnsiTheme="majorBidi" w:cstheme="majorBidi"/>
            <w:sz w:val="20"/>
            <w:szCs w:val="20"/>
          </w:rPr>
          <w:t>https://doi.org/10.21512/bbr.v8i3.3622</w:t>
        </w:r>
      </w:hyperlink>
      <w:r w:rsidRPr="00E00EFE">
        <w:rPr>
          <w:rFonts w:asciiTheme="majorBidi" w:hAnsiTheme="majorBidi" w:cstheme="majorBidi"/>
          <w:sz w:val="20"/>
          <w:szCs w:val="20"/>
        </w:rPr>
        <w:t>.</w:t>
      </w:r>
      <w:r>
        <w:rPr>
          <w:rFonts w:asciiTheme="majorBidi" w:hAnsiTheme="majorBidi" w:cstheme="majorBidi"/>
          <w:sz w:val="20"/>
          <w:szCs w:val="20"/>
        </w:rPr>
        <w:t xml:space="preserve"> </w:t>
      </w:r>
    </w:p>
    <w:p w14:paraId="1A72C6E7" w14:textId="77777777" w:rsidR="006E4B3F" w:rsidRPr="00D50B86" w:rsidRDefault="006E4B3F" w:rsidP="006E4B3F">
      <w:pPr>
        <w:jc w:val="both"/>
        <w:rPr>
          <w:rFonts w:asciiTheme="majorBidi" w:hAnsiTheme="majorBidi" w:cstheme="majorBidi"/>
          <w:sz w:val="20"/>
          <w:szCs w:val="20"/>
        </w:rPr>
      </w:pPr>
      <w:bookmarkStart w:id="63" w:name="w64"/>
      <w:bookmarkEnd w:id="62"/>
      <w:proofErr w:type="spellStart"/>
      <w:r w:rsidRPr="00D50B86">
        <w:rPr>
          <w:rFonts w:asciiTheme="majorBidi" w:hAnsiTheme="majorBidi" w:cstheme="majorBidi"/>
          <w:sz w:val="20"/>
          <w:szCs w:val="20"/>
        </w:rPr>
        <w:t>Pappa</w:t>
      </w:r>
      <w:proofErr w:type="spellEnd"/>
      <w:r w:rsidRPr="00D50B86">
        <w:rPr>
          <w:rFonts w:asciiTheme="majorBidi" w:hAnsiTheme="majorBidi" w:cstheme="majorBidi"/>
          <w:sz w:val="20"/>
          <w:szCs w:val="20"/>
        </w:rPr>
        <w:t>, E.</w:t>
      </w:r>
      <w:proofErr w:type="gramStart"/>
      <w:r w:rsidRPr="00D50B86">
        <w:rPr>
          <w:rFonts w:asciiTheme="majorBidi" w:hAnsiTheme="majorBidi" w:cstheme="majorBidi"/>
          <w:sz w:val="20"/>
          <w:szCs w:val="20"/>
        </w:rPr>
        <w:t xml:space="preserve">,  </w:t>
      </w:r>
      <w:proofErr w:type="spellStart"/>
      <w:r w:rsidRPr="00D50B86">
        <w:rPr>
          <w:rFonts w:asciiTheme="majorBidi" w:hAnsiTheme="majorBidi" w:cstheme="majorBidi"/>
          <w:sz w:val="20"/>
          <w:szCs w:val="20"/>
        </w:rPr>
        <w:t>Sajedi</w:t>
      </w:r>
      <w:proofErr w:type="spellEnd"/>
      <w:proofErr w:type="gramEnd"/>
      <w:r w:rsidRPr="00D50B86">
        <w:rPr>
          <w:rFonts w:asciiTheme="majorBidi" w:hAnsiTheme="majorBidi" w:cstheme="majorBidi"/>
          <w:sz w:val="20"/>
          <w:szCs w:val="20"/>
        </w:rPr>
        <w:t>, R. and Vella, E. (2015). Fiscal consolidation with tax evasion and corruption. Journal of International Economics</w:t>
      </w:r>
      <w:r>
        <w:rPr>
          <w:rFonts w:asciiTheme="majorBidi" w:hAnsiTheme="majorBidi" w:cstheme="majorBidi"/>
          <w:sz w:val="20"/>
          <w:szCs w:val="20"/>
        </w:rPr>
        <w:t xml:space="preserve">, </w:t>
      </w:r>
      <w:r w:rsidRPr="00D50B86">
        <w:rPr>
          <w:rFonts w:asciiTheme="majorBidi" w:hAnsiTheme="majorBidi" w:cstheme="majorBidi"/>
          <w:sz w:val="20"/>
          <w:szCs w:val="20"/>
        </w:rPr>
        <w:t>Volume 96, Supplement 1, Pages S56-S75.</w:t>
      </w:r>
    </w:p>
    <w:p w14:paraId="40454FE1" w14:textId="77777777" w:rsidR="006E4B3F" w:rsidRDefault="006E4B3F" w:rsidP="006E4B3F">
      <w:pPr>
        <w:jc w:val="both"/>
        <w:rPr>
          <w:rFonts w:asciiTheme="majorBidi" w:hAnsiTheme="majorBidi" w:cstheme="majorBidi"/>
          <w:sz w:val="20"/>
          <w:szCs w:val="20"/>
        </w:rPr>
      </w:pPr>
      <w:bookmarkStart w:id="64" w:name="w14"/>
      <w:bookmarkEnd w:id="63"/>
      <w:proofErr w:type="spellStart"/>
      <w:r w:rsidRPr="00887F08">
        <w:rPr>
          <w:rFonts w:asciiTheme="majorBidi" w:hAnsiTheme="majorBidi" w:cstheme="majorBidi"/>
          <w:sz w:val="20"/>
          <w:szCs w:val="20"/>
        </w:rPr>
        <w:t>Pástor</w:t>
      </w:r>
      <w:proofErr w:type="spellEnd"/>
      <w:r w:rsidRPr="00887F08">
        <w:rPr>
          <w:rFonts w:asciiTheme="majorBidi" w:hAnsiTheme="majorBidi" w:cstheme="majorBidi"/>
          <w:sz w:val="20"/>
          <w:szCs w:val="20"/>
        </w:rPr>
        <w:t xml:space="preserve">, L., and Veronesi, P. (2013). Political uncertainty and risk </w:t>
      </w:r>
      <w:proofErr w:type="spellStart"/>
      <w:r w:rsidRPr="00887F08">
        <w:rPr>
          <w:rFonts w:asciiTheme="majorBidi" w:hAnsiTheme="majorBidi" w:cstheme="majorBidi"/>
          <w:sz w:val="20"/>
          <w:szCs w:val="20"/>
        </w:rPr>
        <w:t>premia</w:t>
      </w:r>
      <w:proofErr w:type="spellEnd"/>
      <w:r w:rsidRPr="00887F08">
        <w:rPr>
          <w:rFonts w:asciiTheme="majorBidi" w:hAnsiTheme="majorBidi" w:cstheme="majorBidi"/>
          <w:sz w:val="20"/>
          <w:szCs w:val="20"/>
        </w:rPr>
        <w:t>, Journal of Financial Economics, Forthcoming</w:t>
      </w:r>
      <w:r>
        <w:rPr>
          <w:rFonts w:asciiTheme="majorBidi" w:hAnsiTheme="majorBidi" w:cstheme="majorBidi"/>
          <w:sz w:val="20"/>
          <w:szCs w:val="20"/>
        </w:rPr>
        <w:t xml:space="preserve">. </w:t>
      </w:r>
      <w:hyperlink r:id="rId75" w:history="1">
        <w:r w:rsidRPr="00E953A6">
          <w:rPr>
            <w:rStyle w:val="Hyperlink"/>
            <w:rFonts w:asciiTheme="majorBidi" w:hAnsiTheme="majorBidi" w:cstheme="majorBidi"/>
            <w:sz w:val="20"/>
            <w:szCs w:val="20"/>
          </w:rPr>
          <w:t>https://doi.org/10.1016/j.jfineco.2013.08.007</w:t>
        </w:r>
      </w:hyperlink>
      <w:r>
        <w:rPr>
          <w:rFonts w:asciiTheme="majorBidi" w:hAnsiTheme="majorBidi" w:cstheme="majorBidi"/>
          <w:sz w:val="20"/>
          <w:szCs w:val="20"/>
        </w:rPr>
        <w:t xml:space="preserve">. </w:t>
      </w:r>
    </w:p>
    <w:p w14:paraId="3E163AE9" w14:textId="77777777" w:rsidR="006E4B3F" w:rsidRPr="00BC4BD7" w:rsidRDefault="006E4B3F" w:rsidP="006E4B3F">
      <w:pPr>
        <w:jc w:val="both"/>
        <w:rPr>
          <w:rFonts w:asciiTheme="majorBidi" w:hAnsiTheme="majorBidi" w:cstheme="majorBidi"/>
          <w:sz w:val="20"/>
          <w:szCs w:val="20"/>
        </w:rPr>
      </w:pPr>
      <w:bookmarkStart w:id="65" w:name="w1"/>
      <w:bookmarkEnd w:id="64"/>
      <w:r w:rsidRPr="00692D8B">
        <w:rPr>
          <w:rFonts w:asciiTheme="majorBidi" w:hAnsiTheme="majorBidi" w:cstheme="majorBidi"/>
          <w:sz w:val="20"/>
          <w:szCs w:val="20"/>
        </w:rPr>
        <w:t xml:space="preserve">Public Company Accounting Oversight Board (2010). Auditing </w:t>
      </w:r>
      <w:proofErr w:type="gramStart"/>
      <w:r w:rsidRPr="00692D8B">
        <w:rPr>
          <w:rFonts w:asciiTheme="majorBidi" w:hAnsiTheme="majorBidi" w:cstheme="majorBidi"/>
          <w:sz w:val="20"/>
          <w:szCs w:val="20"/>
        </w:rPr>
        <w:t>Standard</w:t>
      </w:r>
      <w:proofErr w:type="gramEnd"/>
      <w:r w:rsidRPr="00692D8B">
        <w:rPr>
          <w:rFonts w:asciiTheme="majorBidi" w:hAnsiTheme="majorBidi" w:cstheme="majorBidi"/>
          <w:sz w:val="20"/>
          <w:szCs w:val="20"/>
        </w:rPr>
        <w:t xml:space="preserve"> No 8, Audit Risk. PCAOB Release no. 2010-004.</w:t>
      </w:r>
      <w:bookmarkEnd w:id="65"/>
    </w:p>
    <w:p w14:paraId="75DEE41E" w14:textId="77777777" w:rsidR="006E4B3F" w:rsidRPr="00BC4BD7" w:rsidRDefault="006E4B3F" w:rsidP="006E4B3F">
      <w:pPr>
        <w:jc w:val="both"/>
        <w:rPr>
          <w:rFonts w:asciiTheme="majorBidi" w:hAnsiTheme="majorBidi" w:cstheme="majorBidi"/>
          <w:sz w:val="20"/>
          <w:szCs w:val="20"/>
        </w:rPr>
      </w:pPr>
      <w:bookmarkStart w:id="66" w:name="w54"/>
      <w:r w:rsidRPr="00381D05">
        <w:rPr>
          <w:rFonts w:asciiTheme="majorBidi" w:hAnsiTheme="majorBidi" w:cstheme="majorBidi"/>
          <w:sz w:val="20"/>
          <w:szCs w:val="20"/>
        </w:rPr>
        <w:t xml:space="preserve">Richardson, G., and R. </w:t>
      </w:r>
      <w:proofErr w:type="spellStart"/>
      <w:r w:rsidRPr="00381D05">
        <w:rPr>
          <w:rFonts w:asciiTheme="majorBidi" w:hAnsiTheme="majorBidi" w:cstheme="majorBidi"/>
          <w:sz w:val="20"/>
          <w:szCs w:val="20"/>
        </w:rPr>
        <w:t>Lanis</w:t>
      </w:r>
      <w:proofErr w:type="spellEnd"/>
      <w:r w:rsidRPr="00381D05">
        <w:rPr>
          <w:rFonts w:asciiTheme="majorBidi" w:hAnsiTheme="majorBidi" w:cstheme="majorBidi"/>
          <w:sz w:val="20"/>
          <w:szCs w:val="20"/>
        </w:rPr>
        <w:t xml:space="preserve">. (2007). Determinants of Variability </w:t>
      </w:r>
      <w:proofErr w:type="gramStart"/>
      <w:r w:rsidRPr="00381D05">
        <w:rPr>
          <w:rFonts w:asciiTheme="majorBidi" w:hAnsiTheme="majorBidi" w:cstheme="majorBidi"/>
          <w:sz w:val="20"/>
          <w:szCs w:val="20"/>
        </w:rPr>
        <w:t>In</w:t>
      </w:r>
      <w:proofErr w:type="gramEnd"/>
      <w:r w:rsidRPr="00381D05">
        <w:rPr>
          <w:rFonts w:asciiTheme="majorBidi" w:hAnsiTheme="majorBidi" w:cstheme="majorBidi"/>
          <w:sz w:val="20"/>
          <w:szCs w:val="20"/>
        </w:rPr>
        <w:t xml:space="preserve"> Corporate Effective Tax Rates and Tax Reform: Evidence From Australia. </w:t>
      </w:r>
      <w:proofErr w:type="spellStart"/>
      <w:r w:rsidRPr="00381D05">
        <w:rPr>
          <w:rFonts w:asciiTheme="majorBidi" w:hAnsiTheme="majorBidi" w:cstheme="majorBidi"/>
          <w:sz w:val="20"/>
          <w:szCs w:val="20"/>
        </w:rPr>
        <w:t>Jorunal</w:t>
      </w:r>
      <w:proofErr w:type="spellEnd"/>
      <w:r w:rsidRPr="00381D05">
        <w:rPr>
          <w:rFonts w:asciiTheme="majorBidi" w:hAnsiTheme="majorBidi" w:cstheme="majorBidi"/>
          <w:sz w:val="20"/>
          <w:szCs w:val="20"/>
        </w:rPr>
        <w:t xml:space="preserve"> of Accounting and Public Policy. Vol. 26. pp. 689</w:t>
      </w:r>
      <w:r>
        <w:rPr>
          <w:rFonts w:asciiTheme="majorBidi" w:hAnsiTheme="majorBidi" w:cstheme="majorBidi"/>
          <w:sz w:val="20"/>
          <w:szCs w:val="20"/>
        </w:rPr>
        <w:t>-</w:t>
      </w:r>
      <w:r w:rsidRPr="00381D05">
        <w:rPr>
          <w:rFonts w:asciiTheme="majorBidi" w:hAnsiTheme="majorBidi" w:cstheme="majorBidi"/>
          <w:sz w:val="20"/>
          <w:szCs w:val="20"/>
        </w:rPr>
        <w:t>704.</w:t>
      </w:r>
      <w:r>
        <w:rPr>
          <w:rFonts w:asciiTheme="majorBidi" w:hAnsiTheme="majorBidi" w:cstheme="majorBidi"/>
          <w:sz w:val="20"/>
          <w:szCs w:val="20"/>
        </w:rPr>
        <w:t xml:space="preserve"> </w:t>
      </w:r>
      <w:hyperlink r:id="rId76" w:history="1">
        <w:r w:rsidRPr="00E953A6">
          <w:rPr>
            <w:rStyle w:val="Hyperlink"/>
            <w:rFonts w:asciiTheme="majorBidi" w:hAnsiTheme="majorBidi" w:cstheme="majorBidi"/>
            <w:sz w:val="20"/>
            <w:szCs w:val="20"/>
          </w:rPr>
          <w:t>https://doi.org/10.1016/j.jaccpubpol.2007.10.003</w:t>
        </w:r>
      </w:hyperlink>
      <w:r>
        <w:rPr>
          <w:rFonts w:asciiTheme="majorBidi" w:hAnsiTheme="majorBidi" w:cstheme="majorBidi"/>
          <w:sz w:val="20"/>
          <w:szCs w:val="20"/>
        </w:rPr>
        <w:t xml:space="preserve">. </w:t>
      </w:r>
    </w:p>
    <w:p w14:paraId="02E24D2F" w14:textId="77777777" w:rsidR="006E4B3F" w:rsidRDefault="006E4B3F" w:rsidP="006E4B3F">
      <w:pPr>
        <w:jc w:val="both"/>
        <w:rPr>
          <w:rFonts w:asciiTheme="majorBidi" w:hAnsiTheme="majorBidi" w:cstheme="majorBidi"/>
          <w:sz w:val="20"/>
          <w:szCs w:val="20"/>
        </w:rPr>
      </w:pPr>
      <w:bookmarkStart w:id="67" w:name="w55"/>
      <w:bookmarkEnd w:id="66"/>
      <w:r w:rsidRPr="00BC4BD7">
        <w:rPr>
          <w:rFonts w:asciiTheme="majorBidi" w:hAnsiTheme="majorBidi" w:cstheme="majorBidi"/>
          <w:sz w:val="20"/>
          <w:szCs w:val="20"/>
        </w:rPr>
        <w:t xml:space="preserve">Richardson, G., Taylor, G. and R. </w:t>
      </w:r>
      <w:proofErr w:type="spellStart"/>
      <w:r w:rsidRPr="00BC4BD7">
        <w:rPr>
          <w:rFonts w:asciiTheme="majorBidi" w:hAnsiTheme="majorBidi" w:cstheme="majorBidi"/>
          <w:sz w:val="20"/>
          <w:szCs w:val="20"/>
        </w:rPr>
        <w:t>Lanis</w:t>
      </w:r>
      <w:proofErr w:type="spellEnd"/>
      <w:r w:rsidRPr="00BC4BD7">
        <w:rPr>
          <w:rFonts w:asciiTheme="majorBidi" w:hAnsiTheme="majorBidi" w:cstheme="majorBidi"/>
          <w:sz w:val="20"/>
          <w:szCs w:val="20"/>
        </w:rPr>
        <w:t xml:space="preserve"> (2015</w:t>
      </w:r>
      <w:proofErr w:type="gramStart"/>
      <w:r w:rsidRPr="00BC4BD7">
        <w:rPr>
          <w:rFonts w:asciiTheme="majorBidi" w:hAnsiTheme="majorBidi" w:cstheme="majorBidi"/>
          <w:sz w:val="20"/>
          <w:szCs w:val="20"/>
        </w:rPr>
        <w:t>).The</w:t>
      </w:r>
      <w:proofErr w:type="gramEnd"/>
      <w:r w:rsidRPr="00BC4BD7">
        <w:rPr>
          <w:rFonts w:asciiTheme="majorBidi" w:hAnsiTheme="majorBidi" w:cstheme="majorBidi"/>
          <w:sz w:val="20"/>
          <w:szCs w:val="20"/>
        </w:rPr>
        <w:t xml:space="preserve"> impact of financial distress on corporate tax avoidance spanning the global financial c</w:t>
      </w:r>
      <w:r>
        <w:rPr>
          <w:rFonts w:asciiTheme="majorBidi" w:hAnsiTheme="majorBidi" w:cstheme="majorBidi"/>
          <w:sz w:val="20"/>
          <w:szCs w:val="20"/>
        </w:rPr>
        <w:t>risis: evidence from Australia.</w:t>
      </w:r>
      <w:r w:rsidRPr="00BC4BD7">
        <w:rPr>
          <w:rFonts w:asciiTheme="majorBidi" w:hAnsiTheme="majorBidi" w:cstheme="majorBidi"/>
          <w:sz w:val="20"/>
          <w:szCs w:val="20"/>
        </w:rPr>
        <w:t xml:space="preserve"> Economic Modelling, Vol. 44, pp. 44-53.</w:t>
      </w:r>
      <w:r>
        <w:rPr>
          <w:rFonts w:asciiTheme="majorBidi" w:hAnsiTheme="majorBidi" w:cstheme="majorBidi"/>
          <w:sz w:val="20"/>
          <w:szCs w:val="20"/>
        </w:rPr>
        <w:t xml:space="preserve"> </w:t>
      </w:r>
      <w:hyperlink r:id="rId77" w:history="1">
        <w:r w:rsidRPr="00E953A6">
          <w:rPr>
            <w:rStyle w:val="Hyperlink"/>
            <w:rFonts w:asciiTheme="majorBidi" w:hAnsiTheme="majorBidi" w:cstheme="majorBidi"/>
            <w:sz w:val="20"/>
            <w:szCs w:val="20"/>
          </w:rPr>
          <w:t>https://doi.org/10.1016/j.econmod.2014.09.015</w:t>
        </w:r>
      </w:hyperlink>
      <w:r>
        <w:rPr>
          <w:rFonts w:asciiTheme="majorBidi" w:hAnsiTheme="majorBidi" w:cstheme="majorBidi"/>
          <w:sz w:val="20"/>
          <w:szCs w:val="20"/>
        </w:rPr>
        <w:t xml:space="preserve">. </w:t>
      </w:r>
    </w:p>
    <w:p w14:paraId="3EB7C856" w14:textId="77777777" w:rsidR="006E4B3F" w:rsidRPr="00BC4BD7" w:rsidRDefault="006E4B3F" w:rsidP="006E4B3F">
      <w:pPr>
        <w:jc w:val="both"/>
        <w:rPr>
          <w:rFonts w:asciiTheme="majorBidi" w:hAnsiTheme="majorBidi" w:cstheme="majorBidi"/>
          <w:sz w:val="20"/>
          <w:szCs w:val="20"/>
          <w:rtl/>
        </w:rPr>
      </w:pPr>
      <w:bookmarkStart w:id="68" w:name="w26"/>
      <w:bookmarkEnd w:id="67"/>
      <w:proofErr w:type="spellStart"/>
      <w:r w:rsidRPr="00BC4BD7">
        <w:rPr>
          <w:rFonts w:asciiTheme="majorBidi" w:hAnsiTheme="majorBidi" w:cstheme="majorBidi"/>
          <w:sz w:val="20"/>
          <w:szCs w:val="20"/>
        </w:rPr>
        <w:t>Robu</w:t>
      </w:r>
      <w:proofErr w:type="spellEnd"/>
      <w:r w:rsidRPr="00BC4BD7">
        <w:rPr>
          <w:rFonts w:asciiTheme="majorBidi" w:hAnsiTheme="majorBidi" w:cstheme="majorBidi"/>
          <w:sz w:val="20"/>
          <w:szCs w:val="20"/>
        </w:rPr>
        <w:t xml:space="preserve">, l. B and M. A, </w:t>
      </w:r>
      <w:proofErr w:type="spellStart"/>
      <w:r w:rsidRPr="00BC4BD7">
        <w:rPr>
          <w:rFonts w:asciiTheme="majorBidi" w:hAnsiTheme="majorBidi" w:cstheme="majorBidi"/>
          <w:sz w:val="20"/>
          <w:szCs w:val="20"/>
        </w:rPr>
        <w:t>Robu</w:t>
      </w:r>
      <w:proofErr w:type="spellEnd"/>
      <w:r w:rsidRPr="00BC4BD7">
        <w:rPr>
          <w:rFonts w:asciiTheme="majorBidi" w:hAnsiTheme="majorBidi" w:cstheme="majorBidi"/>
          <w:sz w:val="20"/>
          <w:szCs w:val="20"/>
        </w:rPr>
        <w:t xml:space="preserve"> (2015). Statistical Analysis of the Audit Opinion influence on the Value Relevance of the financial information. Audit </w:t>
      </w:r>
      <w:proofErr w:type="spellStart"/>
      <w:r w:rsidRPr="00BC4BD7">
        <w:rPr>
          <w:rFonts w:asciiTheme="majorBidi" w:hAnsiTheme="majorBidi" w:cstheme="majorBidi"/>
          <w:sz w:val="20"/>
          <w:szCs w:val="20"/>
        </w:rPr>
        <w:t>Financiar</w:t>
      </w:r>
      <w:proofErr w:type="spellEnd"/>
      <w:r w:rsidRPr="00BC4BD7">
        <w:rPr>
          <w:rFonts w:asciiTheme="majorBidi" w:hAnsiTheme="majorBidi" w:cstheme="majorBidi"/>
          <w:sz w:val="20"/>
          <w:szCs w:val="20"/>
        </w:rPr>
        <w:t>, Vol. 13, Issue 131, p</w:t>
      </w:r>
      <w:r>
        <w:rPr>
          <w:rFonts w:asciiTheme="majorBidi" w:hAnsiTheme="majorBidi" w:cstheme="majorBidi"/>
          <w:sz w:val="20"/>
          <w:szCs w:val="20"/>
        </w:rPr>
        <w:t xml:space="preserve">p. </w:t>
      </w:r>
      <w:r w:rsidRPr="00BC4BD7">
        <w:rPr>
          <w:rFonts w:asciiTheme="majorBidi" w:hAnsiTheme="majorBidi" w:cstheme="majorBidi"/>
          <w:sz w:val="20"/>
          <w:szCs w:val="20"/>
        </w:rPr>
        <w:t>73-81. 9.</w:t>
      </w:r>
    </w:p>
    <w:p w14:paraId="2B8D50EE" w14:textId="77777777" w:rsidR="006E4B3F" w:rsidRPr="00BC4BD7" w:rsidRDefault="006E4B3F" w:rsidP="006E4B3F">
      <w:pPr>
        <w:jc w:val="both"/>
        <w:rPr>
          <w:rFonts w:asciiTheme="majorBidi" w:hAnsiTheme="majorBidi" w:cstheme="majorBidi"/>
          <w:sz w:val="20"/>
          <w:szCs w:val="20"/>
          <w:rtl/>
        </w:rPr>
      </w:pPr>
      <w:bookmarkStart w:id="69" w:name="w52"/>
      <w:bookmarkEnd w:id="68"/>
      <w:proofErr w:type="spellStart"/>
      <w:r w:rsidRPr="00BC4BD7">
        <w:rPr>
          <w:rFonts w:asciiTheme="majorBidi" w:hAnsiTheme="majorBidi" w:cstheme="majorBidi"/>
          <w:sz w:val="20"/>
          <w:szCs w:val="20"/>
        </w:rPr>
        <w:t>Salamon</w:t>
      </w:r>
      <w:proofErr w:type="spellEnd"/>
      <w:r w:rsidRPr="00BC4BD7">
        <w:rPr>
          <w:rFonts w:asciiTheme="majorBidi" w:hAnsiTheme="majorBidi" w:cstheme="majorBidi"/>
          <w:sz w:val="20"/>
          <w:szCs w:val="20"/>
        </w:rPr>
        <w:t xml:space="preserve">, L.M. and J.J. Siegfried (1977). Economic Power and </w:t>
      </w:r>
      <w:proofErr w:type="spellStart"/>
      <w:r w:rsidRPr="00BC4BD7">
        <w:rPr>
          <w:rFonts w:asciiTheme="majorBidi" w:hAnsiTheme="majorBidi" w:cstheme="majorBidi"/>
          <w:sz w:val="20"/>
          <w:szCs w:val="20"/>
        </w:rPr>
        <w:t>Polotical</w:t>
      </w:r>
      <w:proofErr w:type="spellEnd"/>
      <w:r w:rsidRPr="00BC4BD7">
        <w:rPr>
          <w:rFonts w:asciiTheme="majorBidi" w:hAnsiTheme="majorBidi" w:cstheme="majorBidi"/>
          <w:sz w:val="20"/>
          <w:szCs w:val="20"/>
        </w:rPr>
        <w:t xml:space="preserve"> Influence: The Impact of Industry Structure on Public Policy. American Political </w:t>
      </w:r>
      <w:proofErr w:type="spellStart"/>
      <w:r w:rsidRPr="00BC4BD7">
        <w:rPr>
          <w:rFonts w:asciiTheme="majorBidi" w:hAnsiTheme="majorBidi" w:cstheme="majorBidi"/>
          <w:sz w:val="20"/>
          <w:szCs w:val="20"/>
        </w:rPr>
        <w:t>Sciense</w:t>
      </w:r>
      <w:proofErr w:type="spellEnd"/>
      <w:r w:rsidRPr="00BC4BD7">
        <w:rPr>
          <w:rFonts w:asciiTheme="majorBidi" w:hAnsiTheme="majorBidi" w:cstheme="majorBidi"/>
          <w:sz w:val="20"/>
          <w:szCs w:val="20"/>
        </w:rPr>
        <w:t xml:space="preserve"> Review, 71(3), 1026-1043.</w:t>
      </w:r>
      <w:r>
        <w:rPr>
          <w:rFonts w:asciiTheme="majorBidi" w:hAnsiTheme="majorBidi" w:cstheme="majorBidi"/>
          <w:sz w:val="20"/>
          <w:szCs w:val="20"/>
        </w:rPr>
        <w:t xml:space="preserve"> </w:t>
      </w:r>
      <w:hyperlink r:id="rId78" w:history="1">
        <w:r w:rsidRPr="00E953A6">
          <w:rPr>
            <w:rStyle w:val="Hyperlink"/>
            <w:rFonts w:asciiTheme="majorBidi" w:hAnsiTheme="majorBidi" w:cstheme="majorBidi"/>
            <w:sz w:val="20"/>
            <w:szCs w:val="20"/>
          </w:rPr>
          <w:t>https://doi.org/10.1017/S0003055400265222</w:t>
        </w:r>
      </w:hyperlink>
      <w:r>
        <w:rPr>
          <w:rFonts w:asciiTheme="majorBidi" w:hAnsiTheme="majorBidi" w:cstheme="majorBidi"/>
          <w:sz w:val="20"/>
          <w:szCs w:val="20"/>
        </w:rPr>
        <w:t xml:space="preserve">. </w:t>
      </w:r>
    </w:p>
    <w:p w14:paraId="67668217" w14:textId="77777777" w:rsidR="006E4B3F" w:rsidRPr="00CF00F0" w:rsidRDefault="006E4B3F" w:rsidP="006E4B3F">
      <w:pPr>
        <w:jc w:val="both"/>
        <w:rPr>
          <w:rFonts w:asciiTheme="majorBidi" w:hAnsiTheme="majorBidi" w:cstheme="majorBidi"/>
          <w:sz w:val="20"/>
          <w:szCs w:val="20"/>
          <w:rtl/>
        </w:rPr>
      </w:pPr>
      <w:bookmarkStart w:id="70" w:name="w65"/>
      <w:bookmarkEnd w:id="69"/>
      <w:r w:rsidRPr="00BF188B">
        <w:rPr>
          <w:rFonts w:asciiTheme="majorBidi" w:hAnsiTheme="majorBidi" w:cstheme="majorBidi"/>
          <w:sz w:val="20"/>
          <w:szCs w:val="20"/>
        </w:rPr>
        <w:t xml:space="preserve">Schneider, F., </w:t>
      </w:r>
      <w:proofErr w:type="spellStart"/>
      <w:r w:rsidRPr="00BF188B">
        <w:rPr>
          <w:rFonts w:asciiTheme="majorBidi" w:hAnsiTheme="majorBidi" w:cstheme="majorBidi"/>
          <w:sz w:val="20"/>
          <w:szCs w:val="20"/>
        </w:rPr>
        <w:t>Raczkowski</w:t>
      </w:r>
      <w:proofErr w:type="spellEnd"/>
      <w:r w:rsidRPr="00BF188B">
        <w:rPr>
          <w:rFonts w:asciiTheme="majorBidi" w:hAnsiTheme="majorBidi" w:cstheme="majorBidi"/>
          <w:sz w:val="20"/>
          <w:szCs w:val="20"/>
        </w:rPr>
        <w:t xml:space="preserve">, K. and </w:t>
      </w:r>
      <w:proofErr w:type="spellStart"/>
      <w:r w:rsidRPr="00BF188B">
        <w:rPr>
          <w:rFonts w:asciiTheme="majorBidi" w:hAnsiTheme="majorBidi" w:cstheme="majorBidi"/>
          <w:sz w:val="20"/>
          <w:szCs w:val="20"/>
        </w:rPr>
        <w:t>Mróz</w:t>
      </w:r>
      <w:proofErr w:type="spellEnd"/>
      <w:r w:rsidRPr="00BF188B">
        <w:rPr>
          <w:rFonts w:asciiTheme="majorBidi" w:hAnsiTheme="majorBidi" w:cstheme="majorBidi"/>
          <w:sz w:val="20"/>
          <w:szCs w:val="20"/>
        </w:rPr>
        <w:t>, B. (2015). Shadow economy and tax evasion in the EU. Journal of Money Laundering Control, Vol. 18 No. 1, pp. 34-51.</w:t>
      </w:r>
      <w:r>
        <w:rPr>
          <w:rFonts w:asciiTheme="majorBidi" w:hAnsiTheme="majorBidi" w:cstheme="majorBidi"/>
          <w:sz w:val="20"/>
          <w:szCs w:val="20"/>
        </w:rPr>
        <w:t xml:space="preserve"> </w:t>
      </w:r>
      <w:hyperlink r:id="rId79" w:history="1">
        <w:r w:rsidRPr="00E953A6">
          <w:rPr>
            <w:rStyle w:val="Hyperlink"/>
            <w:rFonts w:asciiTheme="majorBidi" w:hAnsiTheme="majorBidi" w:cstheme="majorBidi"/>
            <w:sz w:val="20"/>
            <w:szCs w:val="20"/>
          </w:rPr>
          <w:t>https://doi.org/10.1108/JMLC-09-2014-0027</w:t>
        </w:r>
      </w:hyperlink>
      <w:r>
        <w:rPr>
          <w:rFonts w:asciiTheme="majorBidi" w:hAnsiTheme="majorBidi" w:cstheme="majorBidi"/>
          <w:sz w:val="20"/>
          <w:szCs w:val="20"/>
        </w:rPr>
        <w:t xml:space="preserve">. </w:t>
      </w:r>
    </w:p>
    <w:p w14:paraId="62999F12" w14:textId="77777777" w:rsidR="006E4B3F" w:rsidRPr="00BC4BD7" w:rsidRDefault="006E4B3F" w:rsidP="006E4B3F">
      <w:pPr>
        <w:jc w:val="both"/>
        <w:rPr>
          <w:rFonts w:asciiTheme="majorBidi" w:hAnsiTheme="majorBidi" w:cstheme="majorBidi"/>
          <w:sz w:val="20"/>
          <w:szCs w:val="20"/>
          <w:rtl/>
        </w:rPr>
      </w:pPr>
      <w:bookmarkStart w:id="71" w:name="w23"/>
      <w:bookmarkEnd w:id="70"/>
      <w:r w:rsidRPr="00BC4BD7">
        <w:rPr>
          <w:rFonts w:asciiTheme="majorBidi" w:hAnsiTheme="majorBidi" w:cstheme="majorBidi"/>
          <w:sz w:val="20"/>
          <w:szCs w:val="20"/>
        </w:rPr>
        <w:lastRenderedPageBreak/>
        <w:t xml:space="preserve">Seidman, J K. and B </w:t>
      </w:r>
      <w:proofErr w:type="spellStart"/>
      <w:r w:rsidRPr="00BC4BD7">
        <w:rPr>
          <w:rFonts w:asciiTheme="majorBidi" w:hAnsiTheme="majorBidi" w:cstheme="majorBidi"/>
          <w:sz w:val="20"/>
          <w:szCs w:val="20"/>
        </w:rPr>
        <w:t>Stomberg</w:t>
      </w:r>
      <w:proofErr w:type="spellEnd"/>
      <w:r w:rsidRPr="00BC4BD7">
        <w:rPr>
          <w:rFonts w:asciiTheme="majorBidi" w:hAnsiTheme="majorBidi" w:cstheme="majorBidi"/>
          <w:sz w:val="20"/>
          <w:szCs w:val="20"/>
        </w:rPr>
        <w:t xml:space="preserve"> (2017). Equity Compensation and Tax Avoidance: Disentangling Managerial Incentives from Tax Benefits and Reexamining the Effect of Shareholder Rights. The Journal of the American Taxation Association, Vol. 39, No. 2, pp. 21-41.</w:t>
      </w:r>
      <w:r>
        <w:rPr>
          <w:rFonts w:asciiTheme="majorBidi" w:hAnsiTheme="majorBidi" w:cstheme="majorBidi"/>
          <w:sz w:val="20"/>
          <w:szCs w:val="20"/>
        </w:rPr>
        <w:t xml:space="preserve"> </w:t>
      </w:r>
      <w:hyperlink r:id="rId80" w:history="1">
        <w:r w:rsidRPr="00E953A6">
          <w:rPr>
            <w:rStyle w:val="Hyperlink"/>
            <w:rFonts w:asciiTheme="majorBidi" w:hAnsiTheme="majorBidi" w:cstheme="majorBidi"/>
            <w:sz w:val="20"/>
            <w:szCs w:val="20"/>
          </w:rPr>
          <w:t>https://doi.org/10.2308/atax-51755</w:t>
        </w:r>
      </w:hyperlink>
      <w:r>
        <w:rPr>
          <w:rFonts w:asciiTheme="majorBidi" w:hAnsiTheme="majorBidi" w:cstheme="majorBidi"/>
          <w:sz w:val="20"/>
          <w:szCs w:val="20"/>
        </w:rPr>
        <w:t xml:space="preserve">. </w:t>
      </w:r>
    </w:p>
    <w:p w14:paraId="3A7852E6" w14:textId="77777777" w:rsidR="006E4B3F" w:rsidRPr="00CF00F0" w:rsidRDefault="006E4B3F" w:rsidP="006E4B3F">
      <w:pPr>
        <w:jc w:val="both"/>
        <w:rPr>
          <w:rFonts w:asciiTheme="majorBidi" w:hAnsiTheme="majorBidi" w:cstheme="majorBidi"/>
          <w:sz w:val="20"/>
          <w:szCs w:val="20"/>
        </w:rPr>
      </w:pPr>
      <w:bookmarkStart w:id="72" w:name="w67"/>
      <w:bookmarkEnd w:id="71"/>
      <w:r w:rsidRPr="00BC4BD7">
        <w:rPr>
          <w:rFonts w:asciiTheme="majorBidi" w:hAnsiTheme="majorBidi" w:cstheme="majorBidi"/>
          <w:sz w:val="20"/>
          <w:szCs w:val="20"/>
        </w:rPr>
        <w:t>Shin, H</w:t>
      </w:r>
      <w:r>
        <w:rPr>
          <w:rFonts w:asciiTheme="majorBidi" w:hAnsiTheme="majorBidi" w:cstheme="majorBidi"/>
          <w:sz w:val="20"/>
          <w:szCs w:val="20"/>
        </w:rPr>
        <w:t>.</w:t>
      </w:r>
      <w:r w:rsidRPr="00BC4BD7">
        <w:rPr>
          <w:rFonts w:asciiTheme="majorBidi" w:hAnsiTheme="majorBidi" w:cstheme="majorBidi"/>
          <w:sz w:val="20"/>
          <w:szCs w:val="20"/>
        </w:rPr>
        <w:t xml:space="preserve"> J.</w:t>
      </w:r>
      <w:r>
        <w:rPr>
          <w:rFonts w:asciiTheme="majorBidi" w:hAnsiTheme="majorBidi" w:cstheme="majorBidi"/>
          <w:sz w:val="20"/>
          <w:szCs w:val="20"/>
        </w:rPr>
        <w:t>,</w:t>
      </w:r>
      <w:r w:rsidRPr="00BC4BD7">
        <w:rPr>
          <w:rFonts w:asciiTheme="majorBidi" w:hAnsiTheme="majorBidi" w:cstheme="majorBidi"/>
          <w:sz w:val="20"/>
          <w:szCs w:val="20"/>
        </w:rPr>
        <w:t xml:space="preserve"> and Y</w:t>
      </w:r>
      <w:r>
        <w:rPr>
          <w:rFonts w:asciiTheme="majorBidi" w:hAnsiTheme="majorBidi" w:cstheme="majorBidi"/>
          <w:sz w:val="20"/>
          <w:szCs w:val="20"/>
        </w:rPr>
        <w:t>.</w:t>
      </w:r>
      <w:r w:rsidRPr="00BC4BD7">
        <w:rPr>
          <w:rFonts w:asciiTheme="majorBidi" w:hAnsiTheme="majorBidi" w:cstheme="majorBidi"/>
          <w:sz w:val="20"/>
          <w:szCs w:val="20"/>
        </w:rPr>
        <w:t>S. Woo (2017). The effect of tax avoidance on cost of debt capital: Evidence from Korea.  South African Journal of Business Management, Volume 48 Number 4, p. 83 - 89.</w:t>
      </w:r>
      <w:r>
        <w:rPr>
          <w:rFonts w:asciiTheme="majorBidi" w:hAnsiTheme="majorBidi" w:cstheme="majorBidi"/>
          <w:sz w:val="20"/>
          <w:szCs w:val="20"/>
        </w:rPr>
        <w:t xml:space="preserve"> </w:t>
      </w:r>
      <w:hyperlink r:id="rId81" w:history="1">
        <w:r w:rsidRPr="00E953A6">
          <w:rPr>
            <w:rStyle w:val="Hyperlink"/>
            <w:rFonts w:asciiTheme="majorBidi" w:hAnsiTheme="majorBidi" w:cstheme="majorBidi"/>
            <w:sz w:val="20"/>
            <w:szCs w:val="20"/>
          </w:rPr>
          <w:t>https://doi.org/10.4102/sajbm.v48i4.45</w:t>
        </w:r>
      </w:hyperlink>
      <w:r w:rsidRPr="00CF00F0">
        <w:rPr>
          <w:rFonts w:asciiTheme="majorBidi" w:hAnsiTheme="majorBidi" w:cstheme="majorBidi"/>
          <w:sz w:val="20"/>
          <w:szCs w:val="20"/>
        </w:rPr>
        <w:t>.</w:t>
      </w:r>
      <w:r>
        <w:rPr>
          <w:rFonts w:asciiTheme="majorBidi" w:hAnsiTheme="majorBidi" w:cstheme="majorBidi"/>
          <w:sz w:val="20"/>
          <w:szCs w:val="20"/>
        </w:rPr>
        <w:t xml:space="preserve"> </w:t>
      </w:r>
    </w:p>
    <w:p w14:paraId="351127D5" w14:textId="77777777" w:rsidR="006E4B3F" w:rsidRPr="0016792A" w:rsidRDefault="006E4B3F" w:rsidP="006E4B3F">
      <w:pPr>
        <w:jc w:val="both"/>
        <w:rPr>
          <w:rFonts w:asciiTheme="majorBidi" w:hAnsiTheme="majorBidi" w:cstheme="majorBidi"/>
          <w:sz w:val="20"/>
          <w:szCs w:val="20"/>
        </w:rPr>
      </w:pPr>
      <w:bookmarkStart w:id="73" w:name="w34"/>
      <w:bookmarkEnd w:id="72"/>
      <w:r w:rsidRPr="00232075">
        <w:rPr>
          <w:rFonts w:asciiTheme="majorBidi" w:hAnsiTheme="majorBidi" w:cstheme="majorBidi"/>
          <w:sz w:val="20"/>
          <w:szCs w:val="20"/>
        </w:rPr>
        <w:t xml:space="preserve">Shleifer, A., &amp; </w:t>
      </w:r>
      <w:proofErr w:type="spellStart"/>
      <w:r w:rsidRPr="00232075">
        <w:rPr>
          <w:rFonts w:asciiTheme="majorBidi" w:hAnsiTheme="majorBidi" w:cstheme="majorBidi"/>
          <w:sz w:val="20"/>
          <w:szCs w:val="20"/>
        </w:rPr>
        <w:t>Vishny</w:t>
      </w:r>
      <w:proofErr w:type="spellEnd"/>
      <w:r w:rsidRPr="00232075">
        <w:rPr>
          <w:rFonts w:asciiTheme="majorBidi" w:hAnsiTheme="majorBidi" w:cstheme="majorBidi"/>
          <w:sz w:val="20"/>
          <w:szCs w:val="20"/>
        </w:rPr>
        <w:t>, R. (1997). A survey of corporate governance. Journal of Finance, 52, 737-782.</w:t>
      </w:r>
      <w:r>
        <w:rPr>
          <w:rFonts w:asciiTheme="majorBidi" w:hAnsiTheme="majorBidi" w:cstheme="majorBidi"/>
          <w:sz w:val="20"/>
          <w:szCs w:val="20"/>
        </w:rPr>
        <w:t xml:space="preserve"> </w:t>
      </w:r>
      <w:hyperlink r:id="rId82" w:history="1">
        <w:r w:rsidRPr="00E953A6">
          <w:rPr>
            <w:rStyle w:val="Hyperlink"/>
            <w:rFonts w:asciiTheme="majorBidi" w:hAnsiTheme="majorBidi" w:cstheme="majorBidi"/>
            <w:sz w:val="20"/>
            <w:szCs w:val="20"/>
          </w:rPr>
          <w:t>https://doi.org/10.1111/j.1540-6261.1997.tb04820.x</w:t>
        </w:r>
      </w:hyperlink>
      <w:r>
        <w:rPr>
          <w:rFonts w:asciiTheme="majorBidi" w:hAnsiTheme="majorBidi" w:cstheme="majorBidi"/>
          <w:sz w:val="20"/>
          <w:szCs w:val="20"/>
        </w:rPr>
        <w:t xml:space="preserve">. </w:t>
      </w:r>
    </w:p>
    <w:p w14:paraId="6E31EDE5" w14:textId="77777777" w:rsidR="006E4B3F" w:rsidRPr="00BC4BD7" w:rsidRDefault="006E4B3F" w:rsidP="006E4B3F">
      <w:pPr>
        <w:jc w:val="both"/>
        <w:rPr>
          <w:rFonts w:asciiTheme="majorBidi" w:hAnsiTheme="majorBidi" w:cstheme="majorBidi"/>
          <w:sz w:val="20"/>
          <w:szCs w:val="20"/>
          <w:rtl/>
        </w:rPr>
      </w:pPr>
      <w:bookmarkStart w:id="74" w:name="w9"/>
      <w:bookmarkEnd w:id="73"/>
      <w:proofErr w:type="spellStart"/>
      <w:r w:rsidRPr="00BC4BD7">
        <w:rPr>
          <w:rFonts w:asciiTheme="majorBidi" w:hAnsiTheme="majorBidi" w:cstheme="majorBidi"/>
          <w:sz w:val="20"/>
          <w:szCs w:val="20"/>
        </w:rPr>
        <w:t>Simunic</w:t>
      </w:r>
      <w:proofErr w:type="spellEnd"/>
      <w:r w:rsidRPr="00BC4BD7">
        <w:rPr>
          <w:rFonts w:asciiTheme="majorBidi" w:hAnsiTheme="majorBidi" w:cstheme="majorBidi"/>
          <w:sz w:val="20"/>
          <w:szCs w:val="20"/>
        </w:rPr>
        <w:t xml:space="preserve">, D. </w:t>
      </w:r>
      <w:r>
        <w:rPr>
          <w:rFonts w:asciiTheme="majorBidi" w:hAnsiTheme="majorBidi" w:cstheme="majorBidi"/>
          <w:sz w:val="20"/>
          <w:szCs w:val="20"/>
        </w:rPr>
        <w:t>(</w:t>
      </w:r>
      <w:r w:rsidRPr="00BC4BD7">
        <w:rPr>
          <w:rFonts w:asciiTheme="majorBidi" w:hAnsiTheme="majorBidi" w:cstheme="majorBidi"/>
          <w:sz w:val="20"/>
          <w:szCs w:val="20"/>
        </w:rPr>
        <w:t>1980</w:t>
      </w:r>
      <w:r>
        <w:rPr>
          <w:rFonts w:asciiTheme="majorBidi" w:hAnsiTheme="majorBidi" w:cstheme="majorBidi"/>
          <w:sz w:val="20"/>
          <w:szCs w:val="20"/>
        </w:rPr>
        <w:t>)</w:t>
      </w:r>
      <w:r w:rsidRPr="00BC4BD7">
        <w:rPr>
          <w:rFonts w:asciiTheme="majorBidi" w:hAnsiTheme="majorBidi" w:cstheme="majorBidi"/>
          <w:sz w:val="20"/>
          <w:szCs w:val="20"/>
        </w:rPr>
        <w:t>. The pricing of audit services: Theory and evidence. Journal of Accounting Research 18 (1): 161-190.</w:t>
      </w:r>
      <w:r>
        <w:rPr>
          <w:rFonts w:asciiTheme="majorBidi" w:hAnsiTheme="majorBidi" w:cstheme="majorBidi"/>
          <w:sz w:val="20"/>
          <w:szCs w:val="20"/>
        </w:rPr>
        <w:t xml:space="preserve"> </w:t>
      </w:r>
      <w:hyperlink r:id="rId83" w:history="1">
        <w:r w:rsidRPr="00E953A6">
          <w:rPr>
            <w:rStyle w:val="Hyperlink"/>
            <w:rFonts w:asciiTheme="majorBidi" w:hAnsiTheme="majorBidi" w:cstheme="majorBidi"/>
            <w:sz w:val="20"/>
            <w:szCs w:val="20"/>
          </w:rPr>
          <w:t>https://doi.org/10.2307/2490397</w:t>
        </w:r>
      </w:hyperlink>
      <w:r>
        <w:rPr>
          <w:rFonts w:asciiTheme="majorBidi" w:hAnsiTheme="majorBidi" w:cstheme="majorBidi"/>
          <w:sz w:val="20"/>
          <w:szCs w:val="20"/>
        </w:rPr>
        <w:t xml:space="preserve">. </w:t>
      </w:r>
    </w:p>
    <w:p w14:paraId="0C804A07" w14:textId="77777777" w:rsidR="006E4B3F" w:rsidRDefault="006E4B3F" w:rsidP="006E4B3F">
      <w:pPr>
        <w:jc w:val="both"/>
        <w:rPr>
          <w:rFonts w:asciiTheme="majorBidi" w:hAnsiTheme="majorBidi" w:cstheme="majorBidi"/>
          <w:sz w:val="20"/>
          <w:szCs w:val="20"/>
        </w:rPr>
      </w:pPr>
      <w:bookmarkStart w:id="75" w:name="w16"/>
      <w:bookmarkEnd w:id="74"/>
      <w:proofErr w:type="spellStart"/>
      <w:r w:rsidRPr="008B2FA6">
        <w:rPr>
          <w:rFonts w:asciiTheme="majorBidi" w:hAnsiTheme="majorBidi" w:cstheme="majorBidi"/>
          <w:sz w:val="20"/>
          <w:szCs w:val="20"/>
        </w:rPr>
        <w:t>Sudibyo</w:t>
      </w:r>
      <w:proofErr w:type="spellEnd"/>
      <w:r w:rsidRPr="008B2FA6">
        <w:rPr>
          <w:rFonts w:asciiTheme="majorBidi" w:hAnsiTheme="majorBidi" w:cstheme="majorBidi"/>
          <w:sz w:val="20"/>
          <w:szCs w:val="20"/>
        </w:rPr>
        <w:t xml:space="preserve">, Y. </w:t>
      </w:r>
      <w:proofErr w:type="gramStart"/>
      <w:r w:rsidRPr="008B2FA6">
        <w:rPr>
          <w:rFonts w:asciiTheme="majorBidi" w:hAnsiTheme="majorBidi" w:cstheme="majorBidi"/>
          <w:sz w:val="20"/>
          <w:szCs w:val="20"/>
        </w:rPr>
        <w:t>A</w:t>
      </w:r>
      <w:proofErr w:type="gramEnd"/>
      <w:r w:rsidRPr="008B2FA6">
        <w:rPr>
          <w:rFonts w:asciiTheme="majorBidi" w:hAnsiTheme="majorBidi" w:cstheme="majorBidi"/>
          <w:sz w:val="20"/>
          <w:szCs w:val="20"/>
        </w:rPr>
        <w:t xml:space="preserve"> </w:t>
      </w:r>
      <w:r>
        <w:rPr>
          <w:rFonts w:asciiTheme="majorBidi" w:hAnsiTheme="majorBidi" w:cstheme="majorBidi"/>
          <w:sz w:val="20"/>
          <w:szCs w:val="20"/>
        </w:rPr>
        <w:t xml:space="preserve">and </w:t>
      </w:r>
      <w:proofErr w:type="spellStart"/>
      <w:r w:rsidRPr="008B2FA6">
        <w:rPr>
          <w:rFonts w:asciiTheme="majorBidi" w:hAnsiTheme="majorBidi" w:cstheme="majorBidi"/>
          <w:sz w:val="20"/>
          <w:szCs w:val="20"/>
        </w:rPr>
        <w:t>Jianfu</w:t>
      </w:r>
      <w:proofErr w:type="spellEnd"/>
      <w:r w:rsidRPr="008B2FA6">
        <w:rPr>
          <w:rFonts w:asciiTheme="majorBidi" w:hAnsiTheme="majorBidi" w:cstheme="majorBidi"/>
          <w:sz w:val="20"/>
          <w:szCs w:val="20"/>
        </w:rPr>
        <w:t>, S (2016). State ownership, agency conflict and effective tax rates: Evidence from China</w:t>
      </w:r>
      <w:r w:rsidRPr="008B2FA6">
        <w:rPr>
          <w:rFonts w:asciiTheme="majorBidi" w:hAnsiTheme="majorBidi" w:cs="Times New Roman"/>
          <w:sz w:val="20"/>
          <w:szCs w:val="20"/>
          <w:rtl/>
        </w:rPr>
        <w:t>‏</w:t>
      </w:r>
      <w:r w:rsidRPr="008B2FA6">
        <w:rPr>
          <w:rFonts w:asciiTheme="majorBidi" w:hAnsiTheme="majorBidi" w:cstheme="majorBidi"/>
          <w:sz w:val="20"/>
          <w:szCs w:val="20"/>
        </w:rPr>
        <w:t>. Corporate Board: Role, Duties &amp; Composition, Volume 12, Issue 1.</w:t>
      </w:r>
      <w:r>
        <w:rPr>
          <w:rFonts w:asciiTheme="majorBidi" w:hAnsiTheme="majorBidi" w:cstheme="majorBidi"/>
          <w:sz w:val="20"/>
          <w:szCs w:val="20"/>
        </w:rPr>
        <w:t xml:space="preserve"> </w:t>
      </w:r>
      <w:hyperlink r:id="rId84" w:history="1">
        <w:r w:rsidRPr="00E953A6">
          <w:rPr>
            <w:rStyle w:val="Hyperlink"/>
            <w:rFonts w:asciiTheme="majorBidi" w:hAnsiTheme="majorBidi" w:cstheme="majorBidi"/>
            <w:sz w:val="20"/>
            <w:szCs w:val="20"/>
          </w:rPr>
          <w:t>https://doi.org/10.22495/cbv12i1c1art4</w:t>
        </w:r>
      </w:hyperlink>
      <w:r>
        <w:rPr>
          <w:rFonts w:asciiTheme="majorBidi" w:hAnsiTheme="majorBidi" w:cstheme="majorBidi"/>
          <w:sz w:val="20"/>
          <w:szCs w:val="20"/>
        </w:rPr>
        <w:t xml:space="preserve">. </w:t>
      </w:r>
    </w:p>
    <w:p w14:paraId="30A4AE4F" w14:textId="77777777" w:rsidR="006E4B3F" w:rsidRDefault="006E4B3F" w:rsidP="006E4B3F">
      <w:pPr>
        <w:jc w:val="both"/>
        <w:rPr>
          <w:rFonts w:asciiTheme="majorBidi" w:hAnsiTheme="majorBidi" w:cstheme="majorBidi"/>
          <w:sz w:val="20"/>
          <w:szCs w:val="20"/>
        </w:rPr>
      </w:pPr>
      <w:bookmarkStart w:id="76" w:name="w77"/>
      <w:bookmarkStart w:id="77" w:name="w58"/>
      <w:bookmarkEnd w:id="75"/>
      <w:proofErr w:type="spellStart"/>
      <w:r w:rsidRPr="008F3CBE">
        <w:rPr>
          <w:rFonts w:asciiTheme="majorBidi" w:hAnsiTheme="majorBidi" w:cstheme="majorBidi"/>
          <w:sz w:val="20"/>
          <w:szCs w:val="20"/>
        </w:rPr>
        <w:t>Tarmidi</w:t>
      </w:r>
      <w:proofErr w:type="spellEnd"/>
      <w:r w:rsidRPr="008F3CBE">
        <w:rPr>
          <w:rFonts w:asciiTheme="majorBidi" w:hAnsiTheme="majorBidi" w:cstheme="majorBidi"/>
          <w:sz w:val="20"/>
          <w:szCs w:val="20"/>
        </w:rPr>
        <w:t xml:space="preserve">, D., Sari, P. N. and </w:t>
      </w:r>
      <w:proofErr w:type="spellStart"/>
      <w:r w:rsidRPr="008F3CBE">
        <w:rPr>
          <w:rFonts w:asciiTheme="majorBidi" w:hAnsiTheme="majorBidi" w:cstheme="majorBidi"/>
          <w:sz w:val="20"/>
          <w:szCs w:val="20"/>
        </w:rPr>
        <w:t>Sormin</w:t>
      </w:r>
      <w:proofErr w:type="spellEnd"/>
      <w:r w:rsidRPr="008F3CBE">
        <w:rPr>
          <w:rFonts w:asciiTheme="majorBidi" w:hAnsiTheme="majorBidi" w:cstheme="majorBidi"/>
          <w:sz w:val="20"/>
          <w:szCs w:val="20"/>
        </w:rPr>
        <w:t>, F. (2020). The Impact of External Control on Tax Avoidance. South Asian Research Journal of Humanities and Social Sciences, 2 (4). pp. 356-360.</w:t>
      </w:r>
    </w:p>
    <w:bookmarkEnd w:id="76"/>
    <w:p w14:paraId="38BFD648" w14:textId="77777777" w:rsidR="006E4B3F" w:rsidRDefault="006E4B3F" w:rsidP="006E4B3F">
      <w:pPr>
        <w:jc w:val="both"/>
        <w:rPr>
          <w:rFonts w:asciiTheme="majorBidi" w:hAnsiTheme="majorBidi" w:cstheme="majorBidi"/>
          <w:sz w:val="20"/>
          <w:szCs w:val="20"/>
        </w:rPr>
      </w:pPr>
      <w:proofErr w:type="spellStart"/>
      <w:r w:rsidRPr="00BC4BD7">
        <w:rPr>
          <w:rFonts w:asciiTheme="majorBidi" w:hAnsiTheme="majorBidi" w:cstheme="majorBidi"/>
          <w:sz w:val="20"/>
          <w:szCs w:val="20"/>
        </w:rPr>
        <w:t>Tsipouridou</w:t>
      </w:r>
      <w:proofErr w:type="spellEnd"/>
      <w:r w:rsidRPr="00BC4BD7">
        <w:rPr>
          <w:rFonts w:asciiTheme="majorBidi" w:hAnsiTheme="majorBidi" w:cstheme="majorBidi"/>
          <w:sz w:val="20"/>
          <w:szCs w:val="20"/>
        </w:rPr>
        <w:t xml:space="preserve">, M and </w:t>
      </w:r>
      <w:proofErr w:type="spellStart"/>
      <w:r w:rsidRPr="00BC4BD7">
        <w:rPr>
          <w:rFonts w:asciiTheme="majorBidi" w:hAnsiTheme="majorBidi" w:cstheme="majorBidi"/>
          <w:sz w:val="20"/>
          <w:szCs w:val="20"/>
        </w:rPr>
        <w:t>Ch</w:t>
      </w:r>
      <w:proofErr w:type="spellEnd"/>
      <w:r w:rsidRPr="00BC4BD7">
        <w:rPr>
          <w:rFonts w:asciiTheme="majorBidi" w:hAnsiTheme="majorBidi" w:cstheme="majorBidi"/>
          <w:sz w:val="20"/>
          <w:szCs w:val="20"/>
        </w:rPr>
        <w:t xml:space="preserve">, </w:t>
      </w:r>
      <w:proofErr w:type="spellStart"/>
      <w:r w:rsidRPr="00BC4BD7">
        <w:rPr>
          <w:rFonts w:asciiTheme="majorBidi" w:hAnsiTheme="majorBidi" w:cstheme="majorBidi"/>
          <w:sz w:val="20"/>
          <w:szCs w:val="20"/>
        </w:rPr>
        <w:t>Spathis</w:t>
      </w:r>
      <w:proofErr w:type="spellEnd"/>
      <w:r w:rsidRPr="00BC4BD7">
        <w:rPr>
          <w:rFonts w:asciiTheme="majorBidi" w:hAnsiTheme="majorBidi" w:cstheme="majorBidi"/>
          <w:sz w:val="20"/>
          <w:szCs w:val="20"/>
        </w:rPr>
        <w:t xml:space="preserve"> (2014). Audit opinion and earnings management: Evidence from Greece. Accounting Forum, Volume 38, Issue 1, </w:t>
      </w:r>
      <w:hyperlink r:id="rId85" w:history="1">
        <w:r w:rsidRPr="00A15BB9">
          <w:rPr>
            <w:rStyle w:val="Hyperlink"/>
            <w:rFonts w:asciiTheme="majorBidi" w:hAnsiTheme="majorBidi" w:cstheme="majorBidi"/>
            <w:sz w:val="20"/>
            <w:szCs w:val="20"/>
          </w:rPr>
          <w:t>https://doi.org/10.1016/j.accfor.2013.09.002</w:t>
        </w:r>
      </w:hyperlink>
      <w:r w:rsidRPr="00BC4BD7">
        <w:rPr>
          <w:rFonts w:asciiTheme="majorBidi" w:hAnsiTheme="majorBidi" w:cstheme="majorBidi"/>
          <w:sz w:val="20"/>
          <w:szCs w:val="20"/>
        </w:rPr>
        <w:t>.</w:t>
      </w:r>
    </w:p>
    <w:p w14:paraId="328C49DF" w14:textId="77777777" w:rsidR="006E4B3F" w:rsidRPr="00BC4BD7" w:rsidRDefault="006E4B3F" w:rsidP="006E4B3F">
      <w:pPr>
        <w:jc w:val="both"/>
        <w:rPr>
          <w:rFonts w:asciiTheme="majorBidi" w:hAnsiTheme="majorBidi" w:cstheme="majorBidi"/>
          <w:sz w:val="20"/>
          <w:szCs w:val="20"/>
          <w:rtl/>
        </w:rPr>
      </w:pPr>
      <w:bookmarkStart w:id="78" w:name="w32"/>
      <w:bookmarkEnd w:id="77"/>
      <w:proofErr w:type="spellStart"/>
      <w:r w:rsidRPr="00522B30">
        <w:rPr>
          <w:rFonts w:asciiTheme="majorBidi" w:hAnsiTheme="majorBidi" w:cstheme="majorBidi"/>
          <w:sz w:val="20"/>
          <w:szCs w:val="20"/>
        </w:rPr>
        <w:t>Vichitsarawong</w:t>
      </w:r>
      <w:proofErr w:type="spellEnd"/>
      <w:r w:rsidRPr="00522B30">
        <w:rPr>
          <w:rFonts w:asciiTheme="majorBidi" w:hAnsiTheme="majorBidi" w:cstheme="majorBidi"/>
          <w:sz w:val="20"/>
          <w:szCs w:val="20"/>
        </w:rPr>
        <w:t xml:space="preserve">, T. and </w:t>
      </w:r>
      <w:proofErr w:type="spellStart"/>
      <w:r w:rsidRPr="00522B30">
        <w:rPr>
          <w:rFonts w:asciiTheme="majorBidi" w:hAnsiTheme="majorBidi" w:cstheme="majorBidi"/>
          <w:sz w:val="20"/>
          <w:szCs w:val="20"/>
        </w:rPr>
        <w:t>Pornupatham</w:t>
      </w:r>
      <w:proofErr w:type="spellEnd"/>
      <w:r w:rsidRPr="00522B30">
        <w:rPr>
          <w:rFonts w:asciiTheme="majorBidi" w:hAnsiTheme="majorBidi" w:cstheme="majorBidi"/>
          <w:sz w:val="20"/>
          <w:szCs w:val="20"/>
        </w:rPr>
        <w:t>, S. (2015). Do audit opinions reflect earnings persistence? Managerial Auditing Journal, Vol. 30 No. 3, pp. 244-276.</w:t>
      </w:r>
      <w:r>
        <w:rPr>
          <w:rFonts w:asciiTheme="majorBidi" w:hAnsiTheme="majorBidi" w:cstheme="majorBidi"/>
          <w:sz w:val="20"/>
          <w:szCs w:val="20"/>
        </w:rPr>
        <w:t xml:space="preserve"> </w:t>
      </w:r>
      <w:hyperlink r:id="rId86" w:history="1">
        <w:r w:rsidRPr="00E953A6">
          <w:rPr>
            <w:rStyle w:val="Hyperlink"/>
            <w:rFonts w:asciiTheme="majorBidi" w:hAnsiTheme="majorBidi" w:cstheme="majorBidi"/>
            <w:sz w:val="20"/>
            <w:szCs w:val="20"/>
          </w:rPr>
          <w:t>https://doi.org/10.1108/MAJ-12-2013-0973</w:t>
        </w:r>
      </w:hyperlink>
      <w:r>
        <w:rPr>
          <w:rFonts w:asciiTheme="majorBidi" w:hAnsiTheme="majorBidi" w:cstheme="majorBidi"/>
          <w:sz w:val="20"/>
          <w:szCs w:val="20"/>
        </w:rPr>
        <w:t xml:space="preserve">. </w:t>
      </w:r>
    </w:p>
    <w:bookmarkEnd w:id="78"/>
    <w:p w14:paraId="4AFAAEF3" w14:textId="77777777" w:rsidR="006E4B3F" w:rsidRPr="00C20B4E" w:rsidRDefault="006E4B3F" w:rsidP="006E4B3F">
      <w:pPr>
        <w:jc w:val="both"/>
        <w:rPr>
          <w:rFonts w:asciiTheme="majorBidi" w:hAnsiTheme="majorBidi" w:cstheme="majorBidi"/>
          <w:sz w:val="20"/>
          <w:szCs w:val="20"/>
        </w:rPr>
      </w:pPr>
      <w:r w:rsidRPr="00BC4BD7">
        <w:rPr>
          <w:rFonts w:asciiTheme="majorBidi" w:hAnsiTheme="majorBidi" w:cstheme="majorBidi"/>
          <w:sz w:val="20"/>
          <w:szCs w:val="20"/>
          <w:rtl/>
        </w:rPr>
        <w:t xml:space="preserve"> </w:t>
      </w:r>
      <w:r w:rsidRPr="00BC4BD7">
        <w:rPr>
          <w:rFonts w:asciiTheme="majorBidi" w:hAnsiTheme="majorBidi" w:cstheme="majorBidi"/>
          <w:sz w:val="20"/>
          <w:szCs w:val="20"/>
        </w:rPr>
        <w:t>Wenzel. M. (2002). The Impact of Outcome Orientation and Justice Concerns on Tax Compliance. Journal of Applied Psychology, 87: 629–645.</w:t>
      </w:r>
      <w:r>
        <w:rPr>
          <w:rFonts w:asciiTheme="majorBidi" w:hAnsiTheme="majorBidi" w:cstheme="majorBidi"/>
          <w:sz w:val="20"/>
          <w:szCs w:val="20"/>
        </w:rPr>
        <w:t xml:space="preserve"> </w:t>
      </w:r>
      <w:hyperlink r:id="rId87" w:history="1">
        <w:r w:rsidRPr="00E953A6">
          <w:rPr>
            <w:rStyle w:val="Hyperlink"/>
            <w:rFonts w:asciiTheme="majorBidi" w:hAnsiTheme="majorBidi" w:cstheme="majorBidi"/>
            <w:sz w:val="20"/>
            <w:szCs w:val="20"/>
          </w:rPr>
          <w:t>https://doi.org/10.1037/0021-9010.87.4.629</w:t>
        </w:r>
      </w:hyperlink>
      <w:r>
        <w:rPr>
          <w:rFonts w:asciiTheme="majorBidi" w:hAnsiTheme="majorBidi" w:cstheme="majorBidi"/>
          <w:sz w:val="20"/>
          <w:szCs w:val="20"/>
        </w:rPr>
        <w:t xml:space="preserve">. </w:t>
      </w:r>
    </w:p>
    <w:p w14:paraId="0E16904C" w14:textId="77777777" w:rsidR="006E4B3F" w:rsidRPr="00381A4A" w:rsidRDefault="006E4B3F" w:rsidP="006E4B3F">
      <w:pPr>
        <w:jc w:val="both"/>
        <w:rPr>
          <w:rFonts w:asciiTheme="majorBidi" w:hAnsiTheme="majorBidi" w:cstheme="majorBidi"/>
          <w:sz w:val="20"/>
          <w:szCs w:val="20"/>
        </w:rPr>
      </w:pPr>
      <w:r w:rsidRPr="00D66B61">
        <w:rPr>
          <w:rFonts w:asciiTheme="majorBidi" w:hAnsiTheme="majorBidi" w:cstheme="majorBidi"/>
          <w:sz w:val="20"/>
          <w:szCs w:val="20"/>
        </w:rPr>
        <w:t xml:space="preserve">Xu, Y., Jiang, A.L., </w:t>
      </w:r>
      <w:proofErr w:type="spellStart"/>
      <w:r w:rsidRPr="00D66B61">
        <w:rPr>
          <w:rFonts w:asciiTheme="majorBidi" w:hAnsiTheme="majorBidi" w:cstheme="majorBidi"/>
          <w:sz w:val="20"/>
          <w:szCs w:val="20"/>
        </w:rPr>
        <w:t>Fa</w:t>
      </w:r>
      <w:r>
        <w:rPr>
          <w:rFonts w:asciiTheme="majorBidi" w:hAnsiTheme="majorBidi" w:cstheme="majorBidi"/>
          <w:sz w:val="20"/>
          <w:szCs w:val="20"/>
        </w:rPr>
        <w:t>rgher</w:t>
      </w:r>
      <w:proofErr w:type="spellEnd"/>
      <w:r>
        <w:rPr>
          <w:rFonts w:asciiTheme="majorBidi" w:hAnsiTheme="majorBidi" w:cstheme="majorBidi"/>
          <w:sz w:val="20"/>
          <w:szCs w:val="20"/>
        </w:rPr>
        <w:t>, N. and Carson, E. (2011).</w:t>
      </w:r>
      <w:r w:rsidRPr="00D66B61">
        <w:rPr>
          <w:rFonts w:asciiTheme="majorBidi" w:hAnsiTheme="majorBidi" w:cstheme="majorBidi"/>
          <w:sz w:val="20"/>
          <w:szCs w:val="20"/>
        </w:rPr>
        <w:t xml:space="preserve"> Audit Reports in Australia during the Global Financial Crisis. Australian Accounting Review, 21: 22-31.</w:t>
      </w:r>
      <w:r>
        <w:rPr>
          <w:rFonts w:asciiTheme="majorBidi" w:hAnsiTheme="majorBidi" w:cstheme="majorBidi"/>
          <w:sz w:val="20"/>
          <w:szCs w:val="20"/>
        </w:rPr>
        <w:t xml:space="preserve"> </w:t>
      </w:r>
      <w:hyperlink r:id="rId88" w:history="1">
        <w:r w:rsidRPr="00E953A6">
          <w:rPr>
            <w:rStyle w:val="Hyperlink"/>
            <w:rFonts w:asciiTheme="majorBidi" w:hAnsiTheme="majorBidi" w:cstheme="majorBidi"/>
            <w:sz w:val="20"/>
            <w:szCs w:val="20"/>
          </w:rPr>
          <w:t>https://doi.org/10.1111/j.1835-2561.2010.00118.x</w:t>
        </w:r>
      </w:hyperlink>
      <w:r>
        <w:rPr>
          <w:rFonts w:asciiTheme="majorBidi" w:hAnsiTheme="majorBidi" w:cstheme="majorBidi"/>
          <w:sz w:val="20"/>
          <w:szCs w:val="20"/>
        </w:rPr>
        <w:t xml:space="preserve">. </w:t>
      </w:r>
    </w:p>
    <w:p w14:paraId="12AA7C4B" w14:textId="77777777" w:rsidR="006E4B3F" w:rsidRDefault="006E4B3F" w:rsidP="006E4B3F">
      <w:pPr>
        <w:jc w:val="both"/>
        <w:rPr>
          <w:rFonts w:asciiTheme="majorBidi" w:hAnsiTheme="majorBidi" w:cstheme="majorBidi"/>
          <w:sz w:val="20"/>
          <w:szCs w:val="20"/>
        </w:rPr>
      </w:pPr>
      <w:r w:rsidRPr="002424B1">
        <w:rPr>
          <w:rFonts w:asciiTheme="majorBidi" w:hAnsiTheme="majorBidi" w:cstheme="majorBidi"/>
          <w:sz w:val="20"/>
          <w:szCs w:val="20"/>
        </w:rPr>
        <w:t xml:space="preserve">Yang, L., Tang, Q., Kilgore, A., Jiang, </w:t>
      </w:r>
      <w:proofErr w:type="gramStart"/>
      <w:r w:rsidRPr="002424B1">
        <w:rPr>
          <w:rFonts w:asciiTheme="majorBidi" w:hAnsiTheme="majorBidi" w:cstheme="majorBidi"/>
          <w:sz w:val="20"/>
          <w:szCs w:val="20"/>
        </w:rPr>
        <w:t>Y.H.(</w:t>
      </w:r>
      <w:proofErr w:type="gramEnd"/>
      <w:r w:rsidRPr="002424B1">
        <w:rPr>
          <w:rFonts w:asciiTheme="majorBidi" w:hAnsiTheme="majorBidi" w:cstheme="majorBidi"/>
          <w:sz w:val="20"/>
          <w:szCs w:val="20"/>
        </w:rPr>
        <w:t>2001). Auditor–government associations and auditor independence in China. The British Accounting Review</w:t>
      </w:r>
      <w:r>
        <w:rPr>
          <w:rFonts w:asciiTheme="majorBidi" w:hAnsiTheme="majorBidi" w:cstheme="majorBidi"/>
          <w:sz w:val="20"/>
          <w:szCs w:val="20"/>
        </w:rPr>
        <w:t>,</w:t>
      </w:r>
      <w:r w:rsidRPr="002424B1">
        <w:rPr>
          <w:rFonts w:asciiTheme="majorBidi" w:hAnsiTheme="majorBidi" w:cstheme="majorBidi"/>
          <w:sz w:val="20"/>
          <w:szCs w:val="20"/>
        </w:rPr>
        <w:t xml:space="preserve"> 33, 175–189</w:t>
      </w:r>
      <w:r>
        <w:rPr>
          <w:rFonts w:asciiTheme="majorBidi" w:hAnsiTheme="majorBidi" w:cstheme="majorBidi"/>
          <w:sz w:val="20"/>
          <w:szCs w:val="20"/>
        </w:rPr>
        <w:t xml:space="preserve">. </w:t>
      </w:r>
      <w:hyperlink r:id="rId89" w:history="1">
        <w:r w:rsidRPr="00E953A6">
          <w:rPr>
            <w:rStyle w:val="Hyperlink"/>
            <w:rFonts w:asciiTheme="majorBidi" w:hAnsiTheme="majorBidi" w:cstheme="majorBidi"/>
            <w:sz w:val="20"/>
            <w:szCs w:val="20"/>
          </w:rPr>
          <w:t>https://doi.org/10.1006/bare.2001.0162</w:t>
        </w:r>
      </w:hyperlink>
      <w:r>
        <w:rPr>
          <w:rFonts w:asciiTheme="majorBidi" w:hAnsiTheme="majorBidi" w:cstheme="majorBidi"/>
          <w:sz w:val="20"/>
          <w:szCs w:val="20"/>
        </w:rPr>
        <w:t xml:space="preserve">. </w:t>
      </w:r>
    </w:p>
    <w:p w14:paraId="316F0411" w14:textId="77777777" w:rsidR="006E4B3F" w:rsidRPr="00381A4A" w:rsidRDefault="006E4B3F" w:rsidP="006E4B3F">
      <w:pPr>
        <w:jc w:val="both"/>
        <w:rPr>
          <w:rFonts w:asciiTheme="majorBidi" w:hAnsiTheme="majorBidi" w:cstheme="majorBidi"/>
          <w:sz w:val="20"/>
          <w:szCs w:val="20"/>
          <w:rtl/>
        </w:rPr>
      </w:pPr>
      <w:r w:rsidRPr="00F14182">
        <w:rPr>
          <w:rFonts w:asciiTheme="majorBidi" w:hAnsiTheme="majorBidi" w:cstheme="majorBidi"/>
          <w:sz w:val="20"/>
          <w:szCs w:val="20"/>
        </w:rPr>
        <w:t>Zeng, T. (2010</w:t>
      </w:r>
      <w:proofErr w:type="gramStart"/>
      <w:r w:rsidRPr="00F14182">
        <w:rPr>
          <w:rFonts w:asciiTheme="majorBidi" w:hAnsiTheme="majorBidi" w:cstheme="majorBidi"/>
          <w:sz w:val="20"/>
          <w:szCs w:val="20"/>
        </w:rPr>
        <w:t>),</w:t>
      </w:r>
      <w:r>
        <w:rPr>
          <w:rFonts w:asciiTheme="majorBidi" w:hAnsiTheme="majorBidi" w:cstheme="majorBidi"/>
          <w:sz w:val="20"/>
          <w:szCs w:val="20"/>
        </w:rPr>
        <w:t>.</w:t>
      </w:r>
      <w:proofErr w:type="gramEnd"/>
      <w:r w:rsidRPr="00F14182">
        <w:rPr>
          <w:rFonts w:asciiTheme="majorBidi" w:hAnsiTheme="majorBidi" w:cstheme="majorBidi"/>
          <w:sz w:val="20"/>
          <w:szCs w:val="20"/>
        </w:rPr>
        <w:t xml:space="preserve"> Ownership Concentration, State Ownership, and Effective Tax Rates: Evidence from C</w:t>
      </w:r>
      <w:r>
        <w:rPr>
          <w:rFonts w:asciiTheme="majorBidi" w:hAnsiTheme="majorBidi" w:cstheme="majorBidi"/>
          <w:sz w:val="20"/>
          <w:szCs w:val="20"/>
        </w:rPr>
        <w:t>hina’s Listed Firms</w:t>
      </w:r>
      <w:r w:rsidRPr="00F14182">
        <w:rPr>
          <w:rFonts w:asciiTheme="majorBidi" w:hAnsiTheme="majorBidi" w:cstheme="majorBidi"/>
          <w:sz w:val="20"/>
          <w:szCs w:val="20"/>
        </w:rPr>
        <w:t>. Accounting Perspectives, 9: 271-289.</w:t>
      </w:r>
      <w:r>
        <w:rPr>
          <w:rFonts w:asciiTheme="majorBidi" w:hAnsiTheme="majorBidi" w:cstheme="majorBidi"/>
          <w:sz w:val="20"/>
          <w:szCs w:val="20"/>
        </w:rPr>
        <w:t xml:space="preserve"> </w:t>
      </w:r>
      <w:hyperlink r:id="rId90" w:history="1">
        <w:r w:rsidRPr="00E953A6">
          <w:rPr>
            <w:rStyle w:val="Hyperlink"/>
            <w:rFonts w:asciiTheme="majorBidi" w:hAnsiTheme="majorBidi" w:cstheme="majorBidi"/>
            <w:sz w:val="20"/>
            <w:szCs w:val="20"/>
          </w:rPr>
          <w:t>https://doi.org/10.1111/j.1911-3838.2010.00014.x</w:t>
        </w:r>
      </w:hyperlink>
      <w:r>
        <w:rPr>
          <w:rFonts w:asciiTheme="majorBidi" w:hAnsiTheme="majorBidi" w:cstheme="majorBidi"/>
          <w:sz w:val="20"/>
          <w:szCs w:val="20"/>
        </w:rPr>
        <w:t xml:space="preserve">. </w:t>
      </w:r>
    </w:p>
    <w:p w14:paraId="7711EFAC" w14:textId="1F4958B6" w:rsidR="00C632E4" w:rsidRDefault="00C632E4" w:rsidP="007D21BB">
      <w:pPr>
        <w:jc w:val="both"/>
        <w:rPr>
          <w:rFonts w:asciiTheme="majorBidi" w:hAnsiTheme="majorBidi" w:cstheme="majorBidi"/>
          <w:sz w:val="24"/>
          <w:szCs w:val="24"/>
        </w:rPr>
      </w:pPr>
    </w:p>
    <w:p w14:paraId="493B02B7" w14:textId="77777777" w:rsidR="001374C9" w:rsidRDefault="001374C9" w:rsidP="001374C9">
      <w:pPr>
        <w:jc w:val="both"/>
        <w:rPr>
          <w:rFonts w:asciiTheme="majorBidi" w:hAnsiTheme="majorBidi" w:cstheme="majorBidi"/>
          <w:b/>
          <w:bCs/>
          <w:sz w:val="24"/>
          <w:szCs w:val="24"/>
        </w:rPr>
      </w:pPr>
      <w:r w:rsidRPr="00C35E5F">
        <w:rPr>
          <w:rFonts w:asciiTheme="majorBidi" w:hAnsiTheme="majorBidi" w:cstheme="majorBidi"/>
          <w:b/>
          <w:bCs/>
          <w:sz w:val="24"/>
          <w:szCs w:val="24"/>
        </w:rPr>
        <w:t>Appendix</w:t>
      </w:r>
    </w:p>
    <w:p w14:paraId="77E3F77A" w14:textId="77777777" w:rsidR="001374C9" w:rsidRDefault="001374C9" w:rsidP="001374C9">
      <w:pPr>
        <w:jc w:val="both"/>
        <w:rPr>
          <w:rFonts w:asciiTheme="majorBidi" w:hAnsiTheme="majorBidi" w:cstheme="majorBidi"/>
          <w:sz w:val="24"/>
          <w:szCs w:val="24"/>
        </w:rPr>
      </w:pPr>
      <w:r>
        <w:rPr>
          <w:rFonts w:asciiTheme="majorBidi" w:hAnsiTheme="majorBidi" w:cstheme="majorBidi"/>
          <w:sz w:val="24"/>
          <w:szCs w:val="24"/>
        </w:rPr>
        <w:t>Appendix 1: Sample (companies)</w:t>
      </w:r>
    </w:p>
    <w:tbl>
      <w:tblPr>
        <w:tblStyle w:val="TableGrid"/>
        <w:tblW w:w="0" w:type="auto"/>
        <w:tblLook w:val="04A0" w:firstRow="1" w:lastRow="0" w:firstColumn="1" w:lastColumn="0" w:noHBand="0" w:noVBand="1"/>
      </w:tblPr>
      <w:tblGrid>
        <w:gridCol w:w="1980"/>
        <w:gridCol w:w="2694"/>
        <w:gridCol w:w="1984"/>
        <w:gridCol w:w="2692"/>
      </w:tblGrid>
      <w:tr w:rsidR="001374C9" w:rsidRPr="0061602E" w14:paraId="648C0BD9" w14:textId="77777777" w:rsidTr="008C53F0">
        <w:tc>
          <w:tcPr>
            <w:tcW w:w="1980" w:type="dxa"/>
          </w:tcPr>
          <w:p w14:paraId="7F99EAB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rPr>
            </w:pPr>
            <w:r w:rsidRPr="0061602E">
              <w:rPr>
                <w:rFonts w:asciiTheme="majorBidi" w:hAnsiTheme="majorBidi" w:cstheme="majorBidi"/>
                <w:sz w:val="20"/>
                <w:szCs w:val="20"/>
              </w:rPr>
              <w:t>Name</w:t>
            </w:r>
          </w:p>
        </w:tc>
        <w:tc>
          <w:tcPr>
            <w:tcW w:w="2694" w:type="dxa"/>
          </w:tcPr>
          <w:p w14:paraId="4ECE882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rPr>
            </w:pPr>
            <w:r w:rsidRPr="0061602E">
              <w:rPr>
                <w:rFonts w:asciiTheme="majorBidi" w:hAnsiTheme="majorBidi" w:cstheme="majorBidi"/>
                <w:sz w:val="20"/>
                <w:szCs w:val="20"/>
              </w:rPr>
              <w:t>Sector</w:t>
            </w:r>
          </w:p>
        </w:tc>
        <w:tc>
          <w:tcPr>
            <w:tcW w:w="1984" w:type="dxa"/>
          </w:tcPr>
          <w:p w14:paraId="644A555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rPr>
            </w:pPr>
            <w:r w:rsidRPr="0061602E">
              <w:rPr>
                <w:rFonts w:asciiTheme="majorBidi" w:hAnsiTheme="majorBidi" w:cstheme="majorBidi"/>
                <w:sz w:val="20"/>
                <w:szCs w:val="20"/>
              </w:rPr>
              <w:t>Name</w:t>
            </w:r>
          </w:p>
        </w:tc>
        <w:tc>
          <w:tcPr>
            <w:tcW w:w="2692" w:type="dxa"/>
          </w:tcPr>
          <w:p w14:paraId="12B929F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center"/>
              <w:rPr>
                <w:rFonts w:asciiTheme="majorBidi" w:hAnsiTheme="majorBidi" w:cstheme="majorBidi"/>
                <w:sz w:val="20"/>
                <w:szCs w:val="20"/>
              </w:rPr>
            </w:pPr>
            <w:r w:rsidRPr="0061602E">
              <w:rPr>
                <w:rFonts w:asciiTheme="majorBidi" w:hAnsiTheme="majorBidi" w:cstheme="majorBidi"/>
                <w:sz w:val="20"/>
                <w:szCs w:val="20"/>
              </w:rPr>
              <w:t>Sector</w:t>
            </w:r>
          </w:p>
        </w:tc>
      </w:tr>
      <w:tr w:rsidR="001374C9" w:rsidRPr="0061602E" w14:paraId="6BD0528E" w14:textId="77777777" w:rsidTr="008C53F0">
        <w:tc>
          <w:tcPr>
            <w:tcW w:w="1980" w:type="dxa"/>
          </w:tcPr>
          <w:p w14:paraId="6BAF6E3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Abouraihan</w:t>
            </w:r>
            <w:proofErr w:type="spellEnd"/>
            <w:r w:rsidRPr="0061602E">
              <w:rPr>
                <w:rFonts w:asciiTheme="majorBidi" w:hAnsiTheme="majorBidi" w:cstheme="majorBidi"/>
                <w:sz w:val="20"/>
                <w:szCs w:val="20"/>
              </w:rPr>
              <w:t xml:space="preserve"> P.</w:t>
            </w:r>
          </w:p>
        </w:tc>
        <w:tc>
          <w:tcPr>
            <w:tcW w:w="2694" w:type="dxa"/>
          </w:tcPr>
          <w:p w14:paraId="4424A49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FC639D">
              <w:rPr>
                <w:rFonts w:asciiTheme="majorBidi" w:hAnsiTheme="majorBidi" w:cstheme="majorBidi"/>
                <w:sz w:val="20"/>
                <w:szCs w:val="20"/>
              </w:rPr>
              <w:t>Pharma</w:t>
            </w:r>
          </w:p>
        </w:tc>
        <w:tc>
          <w:tcPr>
            <w:tcW w:w="1984" w:type="dxa"/>
          </w:tcPr>
          <w:p w14:paraId="4CCA7ED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Khavar</w:t>
            </w:r>
            <w:proofErr w:type="spellEnd"/>
            <w:r w:rsidRPr="0061602E">
              <w:rPr>
                <w:rFonts w:asciiTheme="majorBidi" w:hAnsiTheme="majorBidi" w:cstheme="majorBidi"/>
                <w:sz w:val="20"/>
                <w:szCs w:val="20"/>
              </w:rPr>
              <w:t xml:space="preserve"> Spring</w:t>
            </w:r>
          </w:p>
        </w:tc>
        <w:tc>
          <w:tcPr>
            <w:tcW w:w="2692" w:type="dxa"/>
          </w:tcPr>
          <w:p w14:paraId="0F708CA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539BE">
              <w:rPr>
                <w:rFonts w:asciiTheme="majorBidi" w:hAnsiTheme="majorBidi" w:cstheme="majorBidi"/>
                <w:sz w:val="20"/>
                <w:szCs w:val="20"/>
              </w:rPr>
              <w:t>Automotive</w:t>
            </w:r>
          </w:p>
        </w:tc>
      </w:tr>
      <w:tr w:rsidR="001374C9" w:rsidRPr="0061602E" w14:paraId="359063A6" w14:textId="77777777" w:rsidTr="008C53F0">
        <w:tc>
          <w:tcPr>
            <w:tcW w:w="1980" w:type="dxa"/>
          </w:tcPr>
          <w:p w14:paraId="31FC0FC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Absal</w:t>
            </w:r>
            <w:proofErr w:type="spellEnd"/>
          </w:p>
        </w:tc>
        <w:tc>
          <w:tcPr>
            <w:tcW w:w="2694" w:type="dxa"/>
          </w:tcPr>
          <w:p w14:paraId="2DF5A78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7A6248">
              <w:rPr>
                <w:rFonts w:asciiTheme="majorBidi" w:hAnsiTheme="majorBidi" w:cstheme="majorBidi"/>
                <w:sz w:val="20"/>
                <w:szCs w:val="20"/>
              </w:rPr>
              <w:t>Machinery &amp; Equipment</w:t>
            </w:r>
          </w:p>
        </w:tc>
        <w:tc>
          <w:tcPr>
            <w:tcW w:w="1984" w:type="dxa"/>
          </w:tcPr>
          <w:p w14:paraId="44297B6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Kowsar</w:t>
            </w:r>
            <w:proofErr w:type="spellEnd"/>
            <w:r w:rsidRPr="0061602E">
              <w:rPr>
                <w:rFonts w:asciiTheme="majorBidi" w:hAnsiTheme="majorBidi" w:cstheme="majorBidi"/>
                <w:sz w:val="20"/>
                <w:szCs w:val="20"/>
              </w:rPr>
              <w:t xml:space="preserve"> Pharm.</w:t>
            </w:r>
          </w:p>
        </w:tc>
        <w:tc>
          <w:tcPr>
            <w:tcW w:w="2692" w:type="dxa"/>
          </w:tcPr>
          <w:p w14:paraId="0670EF1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r>
      <w:tr w:rsidR="001374C9" w:rsidRPr="0061602E" w14:paraId="6A4F3740" w14:textId="77777777" w:rsidTr="008C53F0">
        <w:tc>
          <w:tcPr>
            <w:tcW w:w="1980" w:type="dxa"/>
          </w:tcPr>
          <w:p w14:paraId="7F4BB68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Alborz </w:t>
            </w:r>
            <w:proofErr w:type="spellStart"/>
            <w:r w:rsidRPr="0061602E">
              <w:rPr>
                <w:rFonts w:asciiTheme="majorBidi" w:hAnsiTheme="majorBidi" w:cstheme="majorBidi"/>
                <w:sz w:val="20"/>
                <w:szCs w:val="20"/>
              </w:rPr>
              <w:t>Darou</w:t>
            </w:r>
            <w:proofErr w:type="spellEnd"/>
          </w:p>
        </w:tc>
        <w:tc>
          <w:tcPr>
            <w:tcW w:w="2694" w:type="dxa"/>
          </w:tcPr>
          <w:p w14:paraId="16A6A0C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c>
          <w:tcPr>
            <w:tcW w:w="1984" w:type="dxa"/>
          </w:tcPr>
          <w:p w14:paraId="1173BC3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Loabiran</w:t>
            </w:r>
            <w:proofErr w:type="spellEnd"/>
          </w:p>
        </w:tc>
        <w:tc>
          <w:tcPr>
            <w:tcW w:w="2692" w:type="dxa"/>
          </w:tcPr>
          <w:p w14:paraId="2007E7A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r>
      <w:tr w:rsidR="001374C9" w:rsidRPr="0061602E" w14:paraId="16D011B6" w14:textId="77777777" w:rsidTr="008C53F0">
        <w:tc>
          <w:tcPr>
            <w:tcW w:w="1980" w:type="dxa"/>
          </w:tcPr>
          <w:p w14:paraId="7C0791E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Alomrad</w:t>
            </w:r>
            <w:proofErr w:type="spellEnd"/>
          </w:p>
        </w:tc>
        <w:tc>
          <w:tcPr>
            <w:tcW w:w="2694" w:type="dxa"/>
          </w:tcPr>
          <w:p w14:paraId="49761EB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B</w:t>
            </w:r>
            <w:r w:rsidRPr="00F14306">
              <w:rPr>
                <w:rFonts w:asciiTheme="majorBidi" w:hAnsiTheme="majorBidi" w:cstheme="majorBidi"/>
                <w:sz w:val="20"/>
                <w:szCs w:val="20"/>
              </w:rPr>
              <w:t>asic metals</w:t>
            </w:r>
          </w:p>
        </w:tc>
        <w:tc>
          <w:tcPr>
            <w:tcW w:w="1984" w:type="dxa"/>
          </w:tcPr>
          <w:p w14:paraId="538548C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Loghman</w:t>
            </w:r>
            <w:proofErr w:type="spellEnd"/>
            <w:r w:rsidRPr="0061602E">
              <w:rPr>
                <w:rFonts w:asciiTheme="majorBidi" w:hAnsiTheme="majorBidi" w:cstheme="majorBidi"/>
                <w:sz w:val="20"/>
                <w:szCs w:val="20"/>
              </w:rPr>
              <w:t xml:space="preserve"> Pharm.</w:t>
            </w:r>
          </w:p>
        </w:tc>
        <w:tc>
          <w:tcPr>
            <w:tcW w:w="2692" w:type="dxa"/>
          </w:tcPr>
          <w:p w14:paraId="3B46665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r>
      <w:tr w:rsidR="001374C9" w:rsidRPr="0061602E" w14:paraId="02CECCEA" w14:textId="77777777" w:rsidTr="008C53F0">
        <w:tc>
          <w:tcPr>
            <w:tcW w:w="1980" w:type="dxa"/>
          </w:tcPr>
          <w:p w14:paraId="4744364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Alvand</w:t>
            </w:r>
            <w:proofErr w:type="spellEnd"/>
            <w:r w:rsidRPr="0061602E">
              <w:rPr>
                <w:rFonts w:asciiTheme="majorBidi" w:hAnsiTheme="majorBidi" w:cstheme="majorBidi"/>
                <w:sz w:val="20"/>
                <w:szCs w:val="20"/>
              </w:rPr>
              <w:t xml:space="preserve"> Tile</w:t>
            </w:r>
          </w:p>
        </w:tc>
        <w:tc>
          <w:tcPr>
            <w:tcW w:w="2694" w:type="dxa"/>
          </w:tcPr>
          <w:p w14:paraId="1EE22BD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Tiles and ceramics</w:t>
            </w:r>
          </w:p>
        </w:tc>
        <w:tc>
          <w:tcPr>
            <w:tcW w:w="1984" w:type="dxa"/>
          </w:tcPr>
          <w:p w14:paraId="65B9855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Magsal</w:t>
            </w:r>
            <w:proofErr w:type="spellEnd"/>
            <w:r w:rsidRPr="0061602E">
              <w:rPr>
                <w:rFonts w:asciiTheme="majorBidi" w:hAnsiTheme="majorBidi" w:cstheme="majorBidi"/>
                <w:sz w:val="20"/>
                <w:szCs w:val="20"/>
              </w:rPr>
              <w:t xml:space="preserve"> Agri.</w:t>
            </w:r>
          </w:p>
        </w:tc>
        <w:tc>
          <w:tcPr>
            <w:tcW w:w="2692" w:type="dxa"/>
          </w:tcPr>
          <w:p w14:paraId="193E36F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17F4A">
              <w:rPr>
                <w:rFonts w:asciiTheme="majorBidi" w:hAnsiTheme="majorBidi" w:cstheme="majorBidi"/>
                <w:sz w:val="20"/>
                <w:szCs w:val="20"/>
              </w:rPr>
              <w:t>Agriculture</w:t>
            </w:r>
          </w:p>
        </w:tc>
      </w:tr>
      <w:tr w:rsidR="001374C9" w:rsidRPr="0061602E" w14:paraId="68BA58B0" w14:textId="77777777" w:rsidTr="008C53F0">
        <w:tc>
          <w:tcPr>
            <w:tcW w:w="1980" w:type="dxa"/>
          </w:tcPr>
          <w:p w14:paraId="5297EF2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Ama</w:t>
            </w:r>
            <w:proofErr w:type="spellEnd"/>
          </w:p>
        </w:tc>
        <w:tc>
          <w:tcPr>
            <w:tcW w:w="2694" w:type="dxa"/>
          </w:tcPr>
          <w:p w14:paraId="29BF2D6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559EC">
              <w:rPr>
                <w:rFonts w:asciiTheme="majorBidi" w:hAnsiTheme="majorBidi" w:cstheme="majorBidi"/>
                <w:sz w:val="20"/>
                <w:szCs w:val="20"/>
              </w:rPr>
              <w:t>Manufacture of metal products</w:t>
            </w:r>
          </w:p>
        </w:tc>
        <w:tc>
          <w:tcPr>
            <w:tcW w:w="1984" w:type="dxa"/>
          </w:tcPr>
          <w:p w14:paraId="263C83C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Mahram Mfg.</w:t>
            </w:r>
          </w:p>
        </w:tc>
        <w:tc>
          <w:tcPr>
            <w:tcW w:w="2692" w:type="dxa"/>
          </w:tcPr>
          <w:p w14:paraId="7A995E0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rPr>
              <w:t>Food products</w:t>
            </w:r>
          </w:p>
        </w:tc>
      </w:tr>
      <w:tr w:rsidR="001374C9" w:rsidRPr="0061602E" w14:paraId="533B2C88" w14:textId="77777777" w:rsidTr="008C53F0">
        <w:tc>
          <w:tcPr>
            <w:tcW w:w="1980" w:type="dxa"/>
          </w:tcPr>
          <w:p w14:paraId="4FE93FD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Amin Pharm.</w:t>
            </w:r>
          </w:p>
        </w:tc>
        <w:tc>
          <w:tcPr>
            <w:tcW w:w="2694" w:type="dxa"/>
          </w:tcPr>
          <w:p w14:paraId="4243D8A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c>
          <w:tcPr>
            <w:tcW w:w="1984" w:type="dxa"/>
          </w:tcPr>
          <w:p w14:paraId="3FDB509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Mashad</w:t>
            </w:r>
            <w:proofErr w:type="spellEnd"/>
            <w:r w:rsidRPr="0061602E">
              <w:rPr>
                <w:rFonts w:asciiTheme="majorBidi" w:hAnsiTheme="majorBidi" w:cstheme="majorBidi"/>
                <w:sz w:val="20"/>
                <w:szCs w:val="20"/>
              </w:rPr>
              <w:t xml:space="preserve"> Wheel</w:t>
            </w:r>
          </w:p>
        </w:tc>
        <w:tc>
          <w:tcPr>
            <w:tcW w:w="2692" w:type="dxa"/>
          </w:tcPr>
          <w:p w14:paraId="5BAE929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539BE">
              <w:rPr>
                <w:rFonts w:asciiTheme="majorBidi" w:hAnsiTheme="majorBidi" w:cstheme="majorBidi"/>
                <w:sz w:val="20"/>
                <w:szCs w:val="20"/>
              </w:rPr>
              <w:t>Automotive</w:t>
            </w:r>
          </w:p>
        </w:tc>
      </w:tr>
      <w:tr w:rsidR="001374C9" w:rsidRPr="0061602E" w14:paraId="45C0F439" w14:textId="77777777" w:rsidTr="008C53F0">
        <w:tc>
          <w:tcPr>
            <w:tcW w:w="1980" w:type="dxa"/>
          </w:tcPr>
          <w:p w14:paraId="202850A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77553">
              <w:rPr>
                <w:rFonts w:asciiTheme="majorBidi" w:hAnsiTheme="majorBidi" w:cstheme="majorBidi"/>
                <w:sz w:val="20"/>
                <w:szCs w:val="20"/>
              </w:rPr>
              <w:t>Inf. Services</w:t>
            </w:r>
          </w:p>
        </w:tc>
        <w:tc>
          <w:tcPr>
            <w:tcW w:w="2694" w:type="dxa"/>
          </w:tcPr>
          <w:p w14:paraId="45AAB1B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77553">
              <w:rPr>
                <w:rFonts w:asciiTheme="majorBidi" w:hAnsiTheme="majorBidi" w:cstheme="majorBidi"/>
                <w:sz w:val="20"/>
                <w:szCs w:val="20"/>
              </w:rPr>
              <w:t xml:space="preserve">Computers </w:t>
            </w:r>
          </w:p>
        </w:tc>
        <w:tc>
          <w:tcPr>
            <w:tcW w:w="1984" w:type="dxa"/>
          </w:tcPr>
          <w:p w14:paraId="4070A94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Mobin</w:t>
            </w:r>
            <w:proofErr w:type="spellEnd"/>
            <w:r w:rsidRPr="0061602E">
              <w:rPr>
                <w:rFonts w:asciiTheme="majorBidi" w:hAnsiTheme="majorBidi" w:cstheme="majorBidi"/>
                <w:sz w:val="20"/>
                <w:szCs w:val="20"/>
              </w:rPr>
              <w:t xml:space="preserve"> Petr.</w:t>
            </w:r>
          </w:p>
        </w:tc>
        <w:tc>
          <w:tcPr>
            <w:tcW w:w="2692" w:type="dxa"/>
          </w:tcPr>
          <w:p w14:paraId="3D1ABC9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r>
      <w:tr w:rsidR="001374C9" w:rsidRPr="0061602E" w14:paraId="14937B9B" w14:textId="77777777" w:rsidTr="008C53F0">
        <w:tc>
          <w:tcPr>
            <w:tcW w:w="1980" w:type="dxa"/>
          </w:tcPr>
          <w:p w14:paraId="1665F79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lastRenderedPageBreak/>
              <w:t>Bafgh</w:t>
            </w:r>
            <w:proofErr w:type="spellEnd"/>
            <w:r w:rsidRPr="0061602E">
              <w:rPr>
                <w:rFonts w:asciiTheme="majorBidi" w:hAnsiTheme="majorBidi" w:cstheme="majorBidi"/>
                <w:sz w:val="20"/>
                <w:szCs w:val="20"/>
              </w:rPr>
              <w:t xml:space="preserve"> Mining</w:t>
            </w:r>
          </w:p>
        </w:tc>
        <w:tc>
          <w:tcPr>
            <w:tcW w:w="2694" w:type="dxa"/>
          </w:tcPr>
          <w:p w14:paraId="60D911C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F14306">
              <w:rPr>
                <w:rFonts w:asciiTheme="majorBidi" w:hAnsiTheme="majorBidi" w:cstheme="majorBidi"/>
                <w:sz w:val="20"/>
                <w:szCs w:val="20"/>
              </w:rPr>
              <w:t>Extraction of metallic minerals</w:t>
            </w:r>
          </w:p>
        </w:tc>
        <w:tc>
          <w:tcPr>
            <w:tcW w:w="1984" w:type="dxa"/>
          </w:tcPr>
          <w:p w14:paraId="028B238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N. I. L. Z.</w:t>
            </w:r>
          </w:p>
        </w:tc>
        <w:tc>
          <w:tcPr>
            <w:tcW w:w="2692" w:type="dxa"/>
          </w:tcPr>
          <w:p w14:paraId="2EDDF88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B</w:t>
            </w:r>
            <w:r w:rsidRPr="00F14306">
              <w:rPr>
                <w:rFonts w:asciiTheme="majorBidi" w:hAnsiTheme="majorBidi" w:cstheme="majorBidi"/>
                <w:sz w:val="20"/>
                <w:szCs w:val="20"/>
              </w:rPr>
              <w:t>asic metals</w:t>
            </w:r>
          </w:p>
        </w:tc>
      </w:tr>
      <w:tr w:rsidR="001374C9" w:rsidRPr="0061602E" w14:paraId="4D6C37A8" w14:textId="77777777" w:rsidTr="008C53F0">
        <w:tc>
          <w:tcPr>
            <w:tcW w:w="1980" w:type="dxa"/>
          </w:tcPr>
          <w:p w14:paraId="78F9B4C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lang w:bidi="fa-IR"/>
              </w:rPr>
              <w:t>Bahman Group</w:t>
            </w:r>
          </w:p>
        </w:tc>
        <w:tc>
          <w:tcPr>
            <w:tcW w:w="2694" w:type="dxa"/>
          </w:tcPr>
          <w:p w14:paraId="1E98734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86386A">
              <w:rPr>
                <w:rFonts w:asciiTheme="majorBidi" w:hAnsiTheme="majorBidi" w:cstheme="majorBidi"/>
                <w:sz w:val="20"/>
                <w:szCs w:val="20"/>
              </w:rPr>
              <w:t>Automotive</w:t>
            </w:r>
          </w:p>
        </w:tc>
        <w:tc>
          <w:tcPr>
            <w:tcW w:w="1984" w:type="dxa"/>
          </w:tcPr>
          <w:p w14:paraId="598C68D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Naghsh</w:t>
            </w:r>
            <w:proofErr w:type="spellEnd"/>
            <w:r w:rsidRPr="0061602E">
              <w:rPr>
                <w:rFonts w:asciiTheme="majorBidi" w:hAnsiTheme="majorBidi" w:cstheme="majorBidi"/>
                <w:sz w:val="20"/>
                <w:szCs w:val="20"/>
              </w:rPr>
              <w:t xml:space="preserve"> Jahan S.</w:t>
            </w:r>
          </w:p>
        </w:tc>
        <w:tc>
          <w:tcPr>
            <w:tcW w:w="2692" w:type="dxa"/>
          </w:tcPr>
          <w:p w14:paraId="7A9F542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Sugar</w:t>
            </w:r>
          </w:p>
        </w:tc>
      </w:tr>
      <w:tr w:rsidR="001374C9" w:rsidRPr="0061602E" w14:paraId="78FA042A" w14:textId="77777777" w:rsidTr="008C53F0">
        <w:tc>
          <w:tcPr>
            <w:tcW w:w="1980" w:type="dxa"/>
          </w:tcPr>
          <w:p w14:paraId="4B9FF9A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Bama</w:t>
            </w:r>
          </w:p>
        </w:tc>
        <w:tc>
          <w:tcPr>
            <w:tcW w:w="2694" w:type="dxa"/>
          </w:tcPr>
          <w:p w14:paraId="533867E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14306">
              <w:rPr>
                <w:rFonts w:asciiTheme="majorBidi" w:hAnsiTheme="majorBidi" w:cstheme="majorBidi"/>
                <w:sz w:val="20"/>
                <w:szCs w:val="20"/>
              </w:rPr>
              <w:t>Extraction of metallic minerals</w:t>
            </w:r>
          </w:p>
        </w:tc>
        <w:tc>
          <w:tcPr>
            <w:tcW w:w="1984" w:type="dxa"/>
          </w:tcPr>
          <w:p w14:paraId="35F727F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Negin</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Tabas</w:t>
            </w:r>
            <w:proofErr w:type="spellEnd"/>
            <w:r w:rsidRPr="0061602E">
              <w:rPr>
                <w:rFonts w:asciiTheme="majorBidi" w:hAnsiTheme="majorBidi" w:cstheme="majorBidi"/>
                <w:sz w:val="20"/>
                <w:szCs w:val="20"/>
              </w:rPr>
              <w:t xml:space="preserve"> L.</w:t>
            </w:r>
          </w:p>
        </w:tc>
        <w:tc>
          <w:tcPr>
            <w:tcW w:w="2692" w:type="dxa"/>
          </w:tcPr>
          <w:p w14:paraId="65C606A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Pr>
                <w:rFonts w:asciiTheme="majorBidi" w:hAnsiTheme="majorBidi" w:cstheme="majorBidi"/>
                <w:sz w:val="20"/>
                <w:szCs w:val="20"/>
              </w:rPr>
              <w:t>E</w:t>
            </w:r>
            <w:r w:rsidRPr="00687E50">
              <w:rPr>
                <w:rFonts w:asciiTheme="majorBidi" w:hAnsiTheme="majorBidi" w:cstheme="majorBidi"/>
                <w:sz w:val="20"/>
                <w:szCs w:val="20"/>
              </w:rPr>
              <w:t>xtraction of coal</w:t>
            </w:r>
          </w:p>
        </w:tc>
      </w:tr>
      <w:tr w:rsidR="001374C9" w:rsidRPr="0061602E" w14:paraId="56BECA44" w14:textId="77777777" w:rsidTr="008C53F0">
        <w:tc>
          <w:tcPr>
            <w:tcW w:w="1980" w:type="dxa"/>
          </w:tcPr>
          <w:p w14:paraId="2A7EB4B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Behran</w:t>
            </w:r>
            <w:proofErr w:type="spellEnd"/>
            <w:r w:rsidRPr="0061602E">
              <w:rPr>
                <w:rFonts w:asciiTheme="majorBidi" w:hAnsiTheme="majorBidi" w:cstheme="majorBidi"/>
                <w:sz w:val="20"/>
                <w:szCs w:val="20"/>
              </w:rPr>
              <w:t xml:space="preserve"> Oil</w:t>
            </w:r>
          </w:p>
        </w:tc>
        <w:tc>
          <w:tcPr>
            <w:tcW w:w="2694" w:type="dxa"/>
          </w:tcPr>
          <w:p w14:paraId="59E8D60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91195">
              <w:rPr>
                <w:rFonts w:asciiTheme="majorBidi" w:hAnsiTheme="majorBidi" w:cstheme="majorBidi"/>
                <w:sz w:val="20"/>
                <w:szCs w:val="20"/>
              </w:rPr>
              <w:t>Petroleum products</w:t>
            </w:r>
          </w:p>
        </w:tc>
        <w:tc>
          <w:tcPr>
            <w:tcW w:w="1984" w:type="dxa"/>
          </w:tcPr>
          <w:p w14:paraId="5467D82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Neiriz</w:t>
            </w:r>
            <w:proofErr w:type="spellEnd"/>
            <w:r w:rsidRPr="0061602E">
              <w:rPr>
                <w:rFonts w:asciiTheme="majorBidi" w:hAnsiTheme="majorBidi" w:cstheme="majorBidi"/>
                <w:sz w:val="20"/>
                <w:szCs w:val="20"/>
              </w:rPr>
              <w:t xml:space="preserve"> Cement</w:t>
            </w:r>
          </w:p>
        </w:tc>
        <w:tc>
          <w:tcPr>
            <w:tcW w:w="2692" w:type="dxa"/>
          </w:tcPr>
          <w:p w14:paraId="2EDC5BE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r>
      <w:tr w:rsidR="001374C9" w:rsidRPr="0061602E" w14:paraId="1D077D18" w14:textId="77777777" w:rsidTr="008C53F0">
        <w:tc>
          <w:tcPr>
            <w:tcW w:w="1980" w:type="dxa"/>
          </w:tcPr>
          <w:p w14:paraId="70627DA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Boroujerd</w:t>
            </w:r>
            <w:proofErr w:type="spellEnd"/>
            <w:r w:rsidRPr="0061602E">
              <w:rPr>
                <w:rFonts w:asciiTheme="majorBidi" w:hAnsiTheme="majorBidi" w:cstheme="majorBidi"/>
                <w:sz w:val="20"/>
                <w:szCs w:val="20"/>
              </w:rPr>
              <w:t xml:space="preserve"> T.</w:t>
            </w:r>
          </w:p>
        </w:tc>
        <w:tc>
          <w:tcPr>
            <w:tcW w:w="2694" w:type="dxa"/>
          </w:tcPr>
          <w:p w14:paraId="0D7A44A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BE43A8">
              <w:rPr>
                <w:rFonts w:asciiTheme="majorBidi" w:hAnsiTheme="majorBidi" w:cstheme="majorBidi"/>
                <w:sz w:val="20"/>
                <w:szCs w:val="20"/>
              </w:rPr>
              <w:t>textiles</w:t>
            </w:r>
          </w:p>
        </w:tc>
        <w:tc>
          <w:tcPr>
            <w:tcW w:w="1984" w:type="dxa"/>
          </w:tcPr>
          <w:p w14:paraId="26A9B43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Nori</w:t>
            </w:r>
            <w:proofErr w:type="spellEnd"/>
            <w:r w:rsidRPr="0061602E">
              <w:rPr>
                <w:rFonts w:asciiTheme="majorBidi" w:hAnsiTheme="majorBidi" w:cstheme="majorBidi"/>
                <w:sz w:val="20"/>
                <w:szCs w:val="20"/>
              </w:rPr>
              <w:t xml:space="preserve"> Petrochemical</w:t>
            </w:r>
          </w:p>
        </w:tc>
        <w:tc>
          <w:tcPr>
            <w:tcW w:w="2692" w:type="dxa"/>
          </w:tcPr>
          <w:p w14:paraId="5774204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r>
      <w:tr w:rsidR="001374C9" w:rsidRPr="0061602E" w14:paraId="09C01288" w14:textId="77777777" w:rsidTr="008C53F0">
        <w:tc>
          <w:tcPr>
            <w:tcW w:w="1980" w:type="dxa"/>
          </w:tcPr>
          <w:p w14:paraId="4356BCC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Butane Group</w:t>
            </w:r>
          </w:p>
        </w:tc>
        <w:tc>
          <w:tcPr>
            <w:tcW w:w="2694" w:type="dxa"/>
          </w:tcPr>
          <w:p w14:paraId="719463C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7A6248">
              <w:rPr>
                <w:rFonts w:asciiTheme="majorBidi" w:hAnsiTheme="majorBidi" w:cstheme="majorBidi"/>
                <w:sz w:val="20"/>
                <w:szCs w:val="20"/>
              </w:rPr>
              <w:t>Machinery &amp; Equipment</w:t>
            </w:r>
          </w:p>
        </w:tc>
        <w:tc>
          <w:tcPr>
            <w:tcW w:w="1984" w:type="dxa"/>
          </w:tcPr>
          <w:p w14:paraId="64C4821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Offset</w:t>
            </w:r>
          </w:p>
        </w:tc>
        <w:tc>
          <w:tcPr>
            <w:tcW w:w="2692" w:type="dxa"/>
          </w:tcPr>
          <w:p w14:paraId="61BF7A3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2C109F">
              <w:rPr>
                <w:rFonts w:asciiTheme="majorBidi" w:hAnsiTheme="majorBidi" w:cstheme="majorBidi"/>
                <w:sz w:val="20"/>
                <w:szCs w:val="20"/>
              </w:rPr>
              <w:t>Publication</w:t>
            </w:r>
          </w:p>
        </w:tc>
      </w:tr>
      <w:tr w:rsidR="001374C9" w:rsidRPr="0061602E" w14:paraId="7791AA6A" w14:textId="77777777" w:rsidTr="008C53F0">
        <w:tc>
          <w:tcPr>
            <w:tcW w:w="1980" w:type="dxa"/>
          </w:tcPr>
          <w:p w14:paraId="2893A5A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Chadormalu</w:t>
            </w:r>
            <w:proofErr w:type="spellEnd"/>
          </w:p>
        </w:tc>
        <w:tc>
          <w:tcPr>
            <w:tcW w:w="2694" w:type="dxa"/>
          </w:tcPr>
          <w:p w14:paraId="4345CA2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14306">
              <w:rPr>
                <w:rFonts w:asciiTheme="majorBidi" w:hAnsiTheme="majorBidi" w:cstheme="majorBidi"/>
                <w:sz w:val="20"/>
                <w:szCs w:val="20"/>
              </w:rPr>
              <w:t>Extraction of metallic minerals</w:t>
            </w:r>
          </w:p>
        </w:tc>
        <w:tc>
          <w:tcPr>
            <w:tcW w:w="1984" w:type="dxa"/>
          </w:tcPr>
          <w:p w14:paraId="6768607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Oroumiyeh</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Cem</w:t>
            </w:r>
            <w:proofErr w:type="spellEnd"/>
            <w:r w:rsidRPr="0061602E">
              <w:rPr>
                <w:rFonts w:asciiTheme="majorBidi" w:hAnsiTheme="majorBidi" w:cstheme="majorBidi"/>
                <w:sz w:val="20"/>
                <w:szCs w:val="20"/>
              </w:rPr>
              <w:t>.</w:t>
            </w:r>
          </w:p>
        </w:tc>
        <w:tc>
          <w:tcPr>
            <w:tcW w:w="2692" w:type="dxa"/>
          </w:tcPr>
          <w:p w14:paraId="2A4A184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r>
      <w:tr w:rsidR="001374C9" w:rsidRPr="0061602E" w14:paraId="0F0ABB8F" w14:textId="77777777" w:rsidTr="008C53F0">
        <w:tc>
          <w:tcPr>
            <w:tcW w:w="1980" w:type="dxa"/>
          </w:tcPr>
          <w:p w14:paraId="2A4389D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Charkheshgar</w:t>
            </w:r>
            <w:proofErr w:type="spellEnd"/>
          </w:p>
        </w:tc>
        <w:tc>
          <w:tcPr>
            <w:tcW w:w="2694" w:type="dxa"/>
          </w:tcPr>
          <w:p w14:paraId="7C0ABA3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539BE">
              <w:rPr>
                <w:rFonts w:asciiTheme="majorBidi" w:hAnsiTheme="majorBidi" w:cstheme="majorBidi"/>
                <w:sz w:val="20"/>
                <w:szCs w:val="20"/>
              </w:rPr>
              <w:t>Automotive</w:t>
            </w:r>
          </w:p>
        </w:tc>
        <w:tc>
          <w:tcPr>
            <w:tcW w:w="1984" w:type="dxa"/>
          </w:tcPr>
          <w:p w14:paraId="4296BF0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Osvah</w:t>
            </w:r>
            <w:proofErr w:type="spellEnd"/>
            <w:r w:rsidRPr="0061602E">
              <w:rPr>
                <w:rFonts w:asciiTheme="majorBidi" w:hAnsiTheme="majorBidi" w:cstheme="majorBidi"/>
                <w:sz w:val="20"/>
                <w:szCs w:val="20"/>
              </w:rPr>
              <w:t xml:space="preserve"> Pharm.</w:t>
            </w:r>
          </w:p>
        </w:tc>
        <w:tc>
          <w:tcPr>
            <w:tcW w:w="2692" w:type="dxa"/>
          </w:tcPr>
          <w:p w14:paraId="2C2B2A8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r>
      <w:tr w:rsidR="001374C9" w:rsidRPr="0061602E" w14:paraId="4A319354" w14:textId="77777777" w:rsidTr="008C53F0">
        <w:tc>
          <w:tcPr>
            <w:tcW w:w="1980" w:type="dxa"/>
          </w:tcPr>
          <w:p w14:paraId="29CA19D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Darab</w:t>
            </w:r>
            <w:proofErr w:type="spellEnd"/>
            <w:r w:rsidRPr="0061602E">
              <w:rPr>
                <w:rFonts w:asciiTheme="majorBidi" w:hAnsiTheme="majorBidi" w:cstheme="majorBidi"/>
                <w:sz w:val="20"/>
                <w:szCs w:val="20"/>
              </w:rPr>
              <w:t xml:space="preserve"> Cement</w:t>
            </w:r>
          </w:p>
        </w:tc>
        <w:tc>
          <w:tcPr>
            <w:tcW w:w="2694" w:type="dxa"/>
          </w:tcPr>
          <w:p w14:paraId="494F26F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c>
          <w:tcPr>
            <w:tcW w:w="1984" w:type="dxa"/>
          </w:tcPr>
          <w:p w14:paraId="7C9709A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Pars </w:t>
            </w:r>
            <w:proofErr w:type="spellStart"/>
            <w:r w:rsidRPr="0061602E">
              <w:rPr>
                <w:rFonts w:asciiTheme="majorBidi" w:hAnsiTheme="majorBidi" w:cstheme="majorBidi"/>
                <w:sz w:val="20"/>
                <w:szCs w:val="20"/>
              </w:rPr>
              <w:t>Khazar</w:t>
            </w:r>
            <w:proofErr w:type="spellEnd"/>
          </w:p>
        </w:tc>
        <w:tc>
          <w:tcPr>
            <w:tcW w:w="2692" w:type="dxa"/>
          </w:tcPr>
          <w:p w14:paraId="495B2F4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7A6248">
              <w:rPr>
                <w:rFonts w:asciiTheme="majorBidi" w:hAnsiTheme="majorBidi" w:cstheme="majorBidi"/>
                <w:sz w:val="20"/>
                <w:szCs w:val="20"/>
              </w:rPr>
              <w:t>Machinery &amp; Equipment</w:t>
            </w:r>
          </w:p>
        </w:tc>
      </w:tr>
      <w:tr w:rsidR="001374C9" w:rsidRPr="0061602E" w14:paraId="0039A582" w14:textId="77777777" w:rsidTr="008C53F0">
        <w:tc>
          <w:tcPr>
            <w:tcW w:w="1980" w:type="dxa"/>
          </w:tcPr>
          <w:p w14:paraId="6AEDE3D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Daroupakhsh</w:t>
            </w:r>
            <w:proofErr w:type="spellEnd"/>
          </w:p>
        </w:tc>
        <w:tc>
          <w:tcPr>
            <w:tcW w:w="2694" w:type="dxa"/>
          </w:tcPr>
          <w:p w14:paraId="434B9A2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c>
          <w:tcPr>
            <w:tcW w:w="1984" w:type="dxa"/>
          </w:tcPr>
          <w:p w14:paraId="4664E62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Pars </w:t>
            </w:r>
            <w:proofErr w:type="spellStart"/>
            <w:r w:rsidRPr="0061602E">
              <w:rPr>
                <w:rFonts w:asciiTheme="majorBidi" w:hAnsiTheme="majorBidi" w:cstheme="majorBidi"/>
                <w:sz w:val="20"/>
                <w:szCs w:val="20"/>
              </w:rPr>
              <w:t>Minoo</w:t>
            </w:r>
            <w:proofErr w:type="spellEnd"/>
          </w:p>
        </w:tc>
        <w:tc>
          <w:tcPr>
            <w:tcW w:w="2692" w:type="dxa"/>
          </w:tcPr>
          <w:p w14:paraId="27DDBA1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rPr>
              <w:t>Food products</w:t>
            </w:r>
          </w:p>
        </w:tc>
      </w:tr>
      <w:tr w:rsidR="001374C9" w:rsidRPr="0061602E" w14:paraId="0888FF70" w14:textId="77777777" w:rsidTr="008C53F0">
        <w:tc>
          <w:tcPr>
            <w:tcW w:w="1980" w:type="dxa"/>
          </w:tcPr>
          <w:p w14:paraId="3E8F1DD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Kerman Cement</w:t>
            </w:r>
          </w:p>
        </w:tc>
        <w:tc>
          <w:tcPr>
            <w:tcW w:w="2694" w:type="dxa"/>
          </w:tcPr>
          <w:p w14:paraId="1378314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c>
          <w:tcPr>
            <w:tcW w:w="1984" w:type="dxa"/>
          </w:tcPr>
          <w:p w14:paraId="05080C5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91195">
              <w:rPr>
                <w:rFonts w:asciiTheme="majorBidi" w:hAnsiTheme="majorBidi" w:cstheme="majorBidi"/>
                <w:sz w:val="20"/>
                <w:szCs w:val="20"/>
              </w:rPr>
              <w:t>Pars Oil</w:t>
            </w:r>
          </w:p>
        </w:tc>
        <w:tc>
          <w:tcPr>
            <w:tcW w:w="2692" w:type="dxa"/>
          </w:tcPr>
          <w:p w14:paraId="20CD8C3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D91195">
              <w:rPr>
                <w:rFonts w:asciiTheme="majorBidi" w:hAnsiTheme="majorBidi" w:cstheme="majorBidi"/>
                <w:sz w:val="20"/>
                <w:szCs w:val="20"/>
              </w:rPr>
              <w:t>Petroleum products</w:t>
            </w:r>
          </w:p>
        </w:tc>
      </w:tr>
      <w:tr w:rsidR="001374C9" w:rsidRPr="0061602E" w14:paraId="37DD48CA" w14:textId="77777777" w:rsidTr="008C53F0">
        <w:tc>
          <w:tcPr>
            <w:tcW w:w="1980" w:type="dxa"/>
          </w:tcPr>
          <w:p w14:paraId="0ABC1CE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Dasht</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Morghab</w:t>
            </w:r>
            <w:proofErr w:type="spellEnd"/>
          </w:p>
        </w:tc>
        <w:tc>
          <w:tcPr>
            <w:tcW w:w="2694" w:type="dxa"/>
          </w:tcPr>
          <w:p w14:paraId="6DAE23C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rPr>
              <w:t>Food products</w:t>
            </w:r>
          </w:p>
        </w:tc>
        <w:tc>
          <w:tcPr>
            <w:tcW w:w="1984" w:type="dxa"/>
          </w:tcPr>
          <w:p w14:paraId="4CA09E2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Pars Switch</w:t>
            </w:r>
          </w:p>
        </w:tc>
        <w:tc>
          <w:tcPr>
            <w:tcW w:w="2692" w:type="dxa"/>
          </w:tcPr>
          <w:p w14:paraId="48DF416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5B21A5">
              <w:rPr>
                <w:rFonts w:asciiTheme="majorBidi" w:hAnsiTheme="majorBidi" w:cstheme="majorBidi"/>
                <w:sz w:val="20"/>
                <w:szCs w:val="20"/>
              </w:rPr>
              <w:t>Electronical</w:t>
            </w:r>
            <w:proofErr w:type="spellEnd"/>
            <w:r w:rsidRPr="005B21A5">
              <w:rPr>
                <w:rFonts w:asciiTheme="majorBidi" w:hAnsiTheme="majorBidi" w:cstheme="majorBidi"/>
                <w:sz w:val="20"/>
                <w:szCs w:val="20"/>
              </w:rPr>
              <w:t xml:space="preserve"> Devices</w:t>
            </w:r>
          </w:p>
        </w:tc>
      </w:tr>
      <w:tr w:rsidR="001374C9" w:rsidRPr="0061602E" w14:paraId="761B4613" w14:textId="77777777" w:rsidTr="008C53F0">
        <w:tc>
          <w:tcPr>
            <w:tcW w:w="1980" w:type="dxa"/>
          </w:tcPr>
          <w:p w14:paraId="3F3E399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Derakhshan</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Teh</w:t>
            </w:r>
            <w:proofErr w:type="spellEnd"/>
            <w:r w:rsidRPr="0061602E">
              <w:rPr>
                <w:rFonts w:asciiTheme="majorBidi" w:hAnsiTheme="majorBidi" w:cstheme="majorBidi"/>
                <w:sz w:val="20"/>
                <w:szCs w:val="20"/>
              </w:rPr>
              <w:t>.</w:t>
            </w:r>
          </w:p>
        </w:tc>
        <w:tc>
          <w:tcPr>
            <w:tcW w:w="2694" w:type="dxa"/>
          </w:tcPr>
          <w:p w14:paraId="5133FEE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2C109F">
              <w:rPr>
                <w:rFonts w:asciiTheme="majorBidi" w:hAnsiTheme="majorBidi" w:cstheme="majorBidi"/>
                <w:sz w:val="20"/>
                <w:szCs w:val="20"/>
              </w:rPr>
              <w:t>Rubber</w:t>
            </w:r>
            <w:r>
              <w:rPr>
                <w:rFonts w:asciiTheme="majorBidi" w:hAnsiTheme="majorBidi" w:cstheme="majorBidi"/>
                <w:sz w:val="20"/>
                <w:szCs w:val="20"/>
              </w:rPr>
              <w:t xml:space="preserve"> </w:t>
            </w:r>
            <w:r w:rsidRPr="002C109F">
              <w:rPr>
                <w:rFonts w:asciiTheme="majorBidi" w:hAnsiTheme="majorBidi" w:cstheme="majorBidi"/>
                <w:sz w:val="20"/>
                <w:szCs w:val="20"/>
                <w:lang w:bidi="fa-IR"/>
              </w:rPr>
              <w:t>and plastic</w:t>
            </w:r>
          </w:p>
        </w:tc>
        <w:tc>
          <w:tcPr>
            <w:tcW w:w="1984" w:type="dxa"/>
          </w:tcPr>
          <w:p w14:paraId="52C7458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Petr. Tran.</w:t>
            </w:r>
          </w:p>
        </w:tc>
        <w:tc>
          <w:tcPr>
            <w:tcW w:w="2692" w:type="dxa"/>
          </w:tcPr>
          <w:p w14:paraId="41C322C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07474F">
              <w:rPr>
                <w:rFonts w:asciiTheme="majorBidi" w:hAnsiTheme="majorBidi" w:cstheme="majorBidi"/>
                <w:sz w:val="20"/>
                <w:szCs w:val="20"/>
              </w:rPr>
              <w:t>Transportation</w:t>
            </w:r>
          </w:p>
        </w:tc>
      </w:tr>
      <w:tr w:rsidR="001374C9" w:rsidRPr="0061602E" w14:paraId="36C094FC" w14:textId="77777777" w:rsidTr="008C53F0">
        <w:tc>
          <w:tcPr>
            <w:tcW w:w="1980" w:type="dxa"/>
          </w:tcPr>
          <w:p w14:paraId="0F5C2FC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Doode</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Sanati</w:t>
            </w:r>
            <w:proofErr w:type="spellEnd"/>
          </w:p>
        </w:tc>
        <w:tc>
          <w:tcPr>
            <w:tcW w:w="2694" w:type="dxa"/>
          </w:tcPr>
          <w:p w14:paraId="5EA2B0B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E47E31">
              <w:rPr>
                <w:rFonts w:asciiTheme="majorBidi" w:hAnsiTheme="majorBidi" w:cstheme="majorBidi"/>
                <w:sz w:val="20"/>
                <w:szCs w:val="20"/>
              </w:rPr>
              <w:t>Chemicals</w:t>
            </w:r>
          </w:p>
        </w:tc>
        <w:tc>
          <w:tcPr>
            <w:tcW w:w="1984" w:type="dxa"/>
          </w:tcPr>
          <w:p w14:paraId="2261AC1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Plascokar</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Saipa</w:t>
            </w:r>
            <w:proofErr w:type="spellEnd"/>
          </w:p>
        </w:tc>
        <w:tc>
          <w:tcPr>
            <w:tcW w:w="2692" w:type="dxa"/>
          </w:tcPr>
          <w:p w14:paraId="1813481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2C109F">
              <w:rPr>
                <w:rFonts w:asciiTheme="majorBidi" w:hAnsiTheme="majorBidi" w:cstheme="majorBidi"/>
                <w:sz w:val="20"/>
                <w:szCs w:val="20"/>
              </w:rPr>
              <w:t>Rubber</w:t>
            </w:r>
            <w:r>
              <w:rPr>
                <w:rFonts w:asciiTheme="majorBidi" w:hAnsiTheme="majorBidi" w:cstheme="majorBidi"/>
                <w:sz w:val="20"/>
                <w:szCs w:val="20"/>
              </w:rPr>
              <w:t xml:space="preserve"> </w:t>
            </w:r>
            <w:r w:rsidRPr="002C109F">
              <w:rPr>
                <w:rFonts w:asciiTheme="majorBidi" w:hAnsiTheme="majorBidi" w:cstheme="majorBidi"/>
                <w:sz w:val="20"/>
                <w:szCs w:val="20"/>
                <w:lang w:bidi="fa-IR"/>
              </w:rPr>
              <w:t>and plastic</w:t>
            </w:r>
          </w:p>
        </w:tc>
      </w:tr>
      <w:tr w:rsidR="001374C9" w:rsidRPr="0061602E" w14:paraId="4DC8AD02" w14:textId="77777777" w:rsidTr="008C53F0">
        <w:tc>
          <w:tcPr>
            <w:tcW w:w="1980" w:type="dxa"/>
          </w:tcPr>
          <w:p w14:paraId="1520551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E. </w:t>
            </w:r>
            <w:proofErr w:type="spellStart"/>
            <w:r w:rsidRPr="0061602E">
              <w:rPr>
                <w:rFonts w:asciiTheme="majorBidi" w:hAnsiTheme="majorBidi" w:cstheme="majorBidi"/>
                <w:sz w:val="20"/>
                <w:szCs w:val="20"/>
              </w:rPr>
              <w:t>Kh</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Shargh</w:t>
            </w:r>
            <w:proofErr w:type="spellEnd"/>
          </w:p>
        </w:tc>
        <w:tc>
          <w:tcPr>
            <w:tcW w:w="2694" w:type="dxa"/>
          </w:tcPr>
          <w:p w14:paraId="146D79D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539BE">
              <w:rPr>
                <w:rFonts w:asciiTheme="majorBidi" w:hAnsiTheme="majorBidi" w:cstheme="majorBidi"/>
                <w:sz w:val="20"/>
                <w:szCs w:val="20"/>
              </w:rPr>
              <w:t>Automotive</w:t>
            </w:r>
          </w:p>
        </w:tc>
        <w:tc>
          <w:tcPr>
            <w:tcW w:w="1984" w:type="dxa"/>
          </w:tcPr>
          <w:p w14:paraId="46E8448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Qayen</w:t>
            </w:r>
            <w:proofErr w:type="spellEnd"/>
            <w:r w:rsidRPr="0061602E">
              <w:rPr>
                <w:rFonts w:asciiTheme="majorBidi" w:hAnsiTheme="majorBidi" w:cstheme="majorBidi"/>
                <w:sz w:val="20"/>
                <w:szCs w:val="20"/>
              </w:rPr>
              <w:t xml:space="preserve"> Cement</w:t>
            </w:r>
          </w:p>
        </w:tc>
        <w:tc>
          <w:tcPr>
            <w:tcW w:w="2692" w:type="dxa"/>
          </w:tcPr>
          <w:p w14:paraId="579A194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r>
      <w:tr w:rsidR="001374C9" w:rsidRPr="0061602E" w14:paraId="0472AC0D" w14:textId="77777777" w:rsidTr="008C53F0">
        <w:tc>
          <w:tcPr>
            <w:tcW w:w="1980" w:type="dxa"/>
          </w:tcPr>
          <w:p w14:paraId="26A1F50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Fanavaran</w:t>
            </w:r>
            <w:proofErr w:type="spellEnd"/>
            <w:r w:rsidRPr="0061602E">
              <w:rPr>
                <w:rFonts w:asciiTheme="majorBidi" w:hAnsiTheme="majorBidi" w:cstheme="majorBidi"/>
                <w:sz w:val="20"/>
                <w:szCs w:val="20"/>
              </w:rPr>
              <w:t xml:space="preserve"> Petr.</w:t>
            </w:r>
          </w:p>
        </w:tc>
        <w:tc>
          <w:tcPr>
            <w:tcW w:w="2694" w:type="dxa"/>
          </w:tcPr>
          <w:p w14:paraId="2E40E19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c>
          <w:tcPr>
            <w:tcW w:w="1984" w:type="dxa"/>
          </w:tcPr>
          <w:p w14:paraId="0A1AF02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Razak</w:t>
            </w:r>
            <w:proofErr w:type="spellEnd"/>
            <w:r w:rsidRPr="0061602E">
              <w:rPr>
                <w:rFonts w:asciiTheme="majorBidi" w:hAnsiTheme="majorBidi" w:cstheme="majorBidi"/>
                <w:sz w:val="20"/>
                <w:szCs w:val="20"/>
              </w:rPr>
              <w:t xml:space="preserve"> Lab.</w:t>
            </w:r>
          </w:p>
        </w:tc>
        <w:tc>
          <w:tcPr>
            <w:tcW w:w="2692" w:type="dxa"/>
          </w:tcPr>
          <w:p w14:paraId="467B54D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r>
      <w:tr w:rsidR="001374C9" w:rsidRPr="0061602E" w14:paraId="6BE19771" w14:textId="77777777" w:rsidTr="008C53F0">
        <w:tc>
          <w:tcPr>
            <w:tcW w:w="1980" w:type="dxa"/>
          </w:tcPr>
          <w:p w14:paraId="3E3F306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Farabi</w:t>
            </w:r>
            <w:proofErr w:type="spellEnd"/>
            <w:r w:rsidRPr="0061602E">
              <w:rPr>
                <w:rFonts w:asciiTheme="majorBidi" w:hAnsiTheme="majorBidi" w:cstheme="majorBidi"/>
                <w:sz w:val="20"/>
                <w:szCs w:val="20"/>
              </w:rPr>
              <w:t xml:space="preserve"> Petro.</w:t>
            </w:r>
          </w:p>
        </w:tc>
        <w:tc>
          <w:tcPr>
            <w:tcW w:w="2694" w:type="dxa"/>
          </w:tcPr>
          <w:p w14:paraId="1931F7A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c>
          <w:tcPr>
            <w:tcW w:w="1984" w:type="dxa"/>
          </w:tcPr>
          <w:p w14:paraId="2CF5A52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S*</w:t>
            </w:r>
            <w:proofErr w:type="spellStart"/>
            <w:r w:rsidRPr="0061602E">
              <w:rPr>
                <w:rFonts w:asciiTheme="majorBidi" w:hAnsiTheme="majorBidi" w:cstheme="majorBidi"/>
                <w:sz w:val="20"/>
                <w:szCs w:val="20"/>
              </w:rPr>
              <w:t>Azarab</w:t>
            </w:r>
            <w:proofErr w:type="spellEnd"/>
            <w:r w:rsidRPr="0061602E">
              <w:rPr>
                <w:rFonts w:asciiTheme="majorBidi" w:hAnsiTheme="majorBidi" w:cstheme="majorBidi"/>
                <w:sz w:val="20"/>
                <w:szCs w:val="20"/>
              </w:rPr>
              <w:t xml:space="preserve"> Ind.</w:t>
            </w:r>
          </w:p>
        </w:tc>
        <w:tc>
          <w:tcPr>
            <w:tcW w:w="2692" w:type="dxa"/>
          </w:tcPr>
          <w:p w14:paraId="66CD451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559EC">
              <w:rPr>
                <w:rFonts w:asciiTheme="majorBidi" w:hAnsiTheme="majorBidi" w:cstheme="majorBidi"/>
                <w:sz w:val="20"/>
                <w:szCs w:val="20"/>
              </w:rPr>
              <w:t>Manufacture of metal products</w:t>
            </w:r>
          </w:p>
        </w:tc>
      </w:tr>
      <w:tr w:rsidR="001374C9" w:rsidRPr="0061602E" w14:paraId="25D311FC" w14:textId="77777777" w:rsidTr="008C53F0">
        <w:tc>
          <w:tcPr>
            <w:tcW w:w="1980" w:type="dxa"/>
          </w:tcPr>
          <w:p w14:paraId="487BBA7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Farabi</w:t>
            </w:r>
            <w:proofErr w:type="spellEnd"/>
            <w:r w:rsidRPr="0061602E">
              <w:rPr>
                <w:rFonts w:asciiTheme="majorBidi" w:hAnsiTheme="majorBidi" w:cstheme="majorBidi"/>
                <w:sz w:val="20"/>
                <w:szCs w:val="20"/>
              </w:rPr>
              <w:t xml:space="preserve"> Pharm.</w:t>
            </w:r>
          </w:p>
        </w:tc>
        <w:tc>
          <w:tcPr>
            <w:tcW w:w="2694" w:type="dxa"/>
          </w:tcPr>
          <w:p w14:paraId="4DAC6C9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c>
          <w:tcPr>
            <w:tcW w:w="1984" w:type="dxa"/>
          </w:tcPr>
          <w:p w14:paraId="6ACE0FF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S*I. N. C. Ind.</w:t>
            </w:r>
          </w:p>
        </w:tc>
        <w:tc>
          <w:tcPr>
            <w:tcW w:w="2692" w:type="dxa"/>
          </w:tcPr>
          <w:p w14:paraId="7E47DC1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B</w:t>
            </w:r>
            <w:r w:rsidRPr="00F14306">
              <w:rPr>
                <w:rFonts w:asciiTheme="majorBidi" w:hAnsiTheme="majorBidi" w:cstheme="majorBidi"/>
                <w:sz w:val="20"/>
                <w:szCs w:val="20"/>
              </w:rPr>
              <w:t>asic metals</w:t>
            </w:r>
          </w:p>
        </w:tc>
      </w:tr>
      <w:tr w:rsidR="001374C9" w:rsidRPr="0061602E" w14:paraId="2E0F4061" w14:textId="77777777" w:rsidTr="008C53F0">
        <w:tc>
          <w:tcPr>
            <w:tcW w:w="1980" w:type="dxa"/>
          </w:tcPr>
          <w:p w14:paraId="2D65A9D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5B07CD">
              <w:rPr>
                <w:rFonts w:asciiTheme="majorBidi" w:hAnsiTheme="majorBidi" w:cstheme="majorBidi"/>
                <w:sz w:val="20"/>
                <w:szCs w:val="20"/>
              </w:rPr>
              <w:t>Ghandi</w:t>
            </w:r>
            <w:proofErr w:type="spellEnd"/>
            <w:r w:rsidRPr="005B07CD">
              <w:rPr>
                <w:rFonts w:asciiTheme="majorBidi" w:hAnsiTheme="majorBidi" w:cstheme="majorBidi"/>
                <w:sz w:val="20"/>
                <w:szCs w:val="20"/>
              </w:rPr>
              <w:t xml:space="preserve"> Cables.</w:t>
            </w:r>
          </w:p>
        </w:tc>
        <w:tc>
          <w:tcPr>
            <w:tcW w:w="2694" w:type="dxa"/>
          </w:tcPr>
          <w:p w14:paraId="303281C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5B21A5">
              <w:rPr>
                <w:rFonts w:asciiTheme="majorBidi" w:hAnsiTheme="majorBidi" w:cstheme="majorBidi"/>
                <w:sz w:val="20"/>
                <w:szCs w:val="20"/>
              </w:rPr>
              <w:t>Electronical</w:t>
            </w:r>
            <w:proofErr w:type="spellEnd"/>
            <w:r w:rsidRPr="005B21A5">
              <w:rPr>
                <w:rFonts w:asciiTheme="majorBidi" w:hAnsiTheme="majorBidi" w:cstheme="majorBidi"/>
                <w:sz w:val="20"/>
                <w:szCs w:val="20"/>
              </w:rPr>
              <w:t xml:space="preserve"> Devices</w:t>
            </w:r>
          </w:p>
        </w:tc>
        <w:tc>
          <w:tcPr>
            <w:tcW w:w="1984" w:type="dxa"/>
          </w:tcPr>
          <w:p w14:paraId="1CA9070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S*Iran </w:t>
            </w:r>
            <w:proofErr w:type="spellStart"/>
            <w:r w:rsidRPr="0061602E">
              <w:rPr>
                <w:rFonts w:asciiTheme="majorBidi" w:hAnsiTheme="majorBidi" w:cstheme="majorBidi"/>
                <w:sz w:val="20"/>
                <w:szCs w:val="20"/>
              </w:rPr>
              <w:t>Aluminium</w:t>
            </w:r>
            <w:proofErr w:type="spellEnd"/>
          </w:p>
        </w:tc>
        <w:tc>
          <w:tcPr>
            <w:tcW w:w="2692" w:type="dxa"/>
          </w:tcPr>
          <w:p w14:paraId="1B808F8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B</w:t>
            </w:r>
            <w:r w:rsidRPr="00F14306">
              <w:rPr>
                <w:rFonts w:asciiTheme="majorBidi" w:hAnsiTheme="majorBidi" w:cstheme="majorBidi"/>
                <w:sz w:val="20"/>
                <w:szCs w:val="20"/>
              </w:rPr>
              <w:t>asic metals</w:t>
            </w:r>
          </w:p>
        </w:tc>
      </w:tr>
      <w:tr w:rsidR="001374C9" w:rsidRPr="0061602E" w14:paraId="05DD48B1" w14:textId="77777777" w:rsidTr="008C53F0">
        <w:tc>
          <w:tcPr>
            <w:tcW w:w="1980" w:type="dxa"/>
          </w:tcPr>
          <w:p w14:paraId="1A25994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Ghazvin</w:t>
            </w:r>
            <w:proofErr w:type="spellEnd"/>
            <w:r w:rsidRPr="0061602E">
              <w:rPr>
                <w:rFonts w:asciiTheme="majorBidi" w:hAnsiTheme="majorBidi" w:cstheme="majorBidi"/>
                <w:sz w:val="20"/>
                <w:szCs w:val="20"/>
              </w:rPr>
              <w:t xml:space="preserve"> Sugar</w:t>
            </w:r>
          </w:p>
        </w:tc>
        <w:tc>
          <w:tcPr>
            <w:tcW w:w="2694" w:type="dxa"/>
          </w:tcPr>
          <w:p w14:paraId="2F7578E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Sugar</w:t>
            </w:r>
          </w:p>
        </w:tc>
        <w:tc>
          <w:tcPr>
            <w:tcW w:w="1984" w:type="dxa"/>
          </w:tcPr>
          <w:p w14:paraId="48AB2BE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S*IRI Marine Co.</w:t>
            </w:r>
          </w:p>
        </w:tc>
        <w:tc>
          <w:tcPr>
            <w:tcW w:w="2692" w:type="dxa"/>
          </w:tcPr>
          <w:p w14:paraId="69C0006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07474F">
              <w:rPr>
                <w:rFonts w:asciiTheme="majorBidi" w:hAnsiTheme="majorBidi" w:cstheme="majorBidi"/>
                <w:sz w:val="20"/>
                <w:szCs w:val="20"/>
              </w:rPr>
              <w:t>Transportation</w:t>
            </w:r>
          </w:p>
        </w:tc>
      </w:tr>
      <w:tr w:rsidR="001374C9" w:rsidRPr="0061602E" w14:paraId="36B8131C" w14:textId="77777777" w:rsidTr="008C53F0">
        <w:tc>
          <w:tcPr>
            <w:tcW w:w="1980" w:type="dxa"/>
          </w:tcPr>
          <w:p w14:paraId="153A61C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Abadan Petr.</w:t>
            </w:r>
          </w:p>
        </w:tc>
        <w:tc>
          <w:tcPr>
            <w:tcW w:w="2694" w:type="dxa"/>
          </w:tcPr>
          <w:p w14:paraId="7BC5E0F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c>
          <w:tcPr>
            <w:tcW w:w="1984" w:type="dxa"/>
          </w:tcPr>
          <w:p w14:paraId="71543D1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lang w:bidi="fa-IR"/>
              </w:rPr>
              <w:t>S*Metals &amp; Min.</w:t>
            </w:r>
          </w:p>
        </w:tc>
        <w:tc>
          <w:tcPr>
            <w:tcW w:w="2692" w:type="dxa"/>
          </w:tcPr>
          <w:p w14:paraId="47B99C9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14306">
              <w:rPr>
                <w:rFonts w:asciiTheme="majorBidi" w:hAnsiTheme="majorBidi" w:cstheme="majorBidi"/>
                <w:sz w:val="20"/>
                <w:szCs w:val="20"/>
              </w:rPr>
              <w:t>Extraction of metallic minerals</w:t>
            </w:r>
          </w:p>
        </w:tc>
      </w:tr>
      <w:tr w:rsidR="001374C9" w:rsidRPr="0061602E" w14:paraId="50FBFDA5" w14:textId="77777777" w:rsidTr="008C53F0">
        <w:tc>
          <w:tcPr>
            <w:tcW w:w="1980" w:type="dxa"/>
          </w:tcPr>
          <w:p w14:paraId="4EC1E7F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lang w:bidi="fa-IR"/>
              </w:rPr>
              <w:t>Glass and Gas</w:t>
            </w:r>
          </w:p>
        </w:tc>
        <w:tc>
          <w:tcPr>
            <w:tcW w:w="2694" w:type="dxa"/>
          </w:tcPr>
          <w:p w14:paraId="7FEDFEC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5421B">
              <w:rPr>
                <w:rFonts w:asciiTheme="majorBidi" w:hAnsiTheme="majorBidi" w:cstheme="majorBidi"/>
                <w:sz w:val="20"/>
                <w:szCs w:val="20"/>
              </w:rPr>
              <w:t>Non-metallic minerals</w:t>
            </w:r>
          </w:p>
        </w:tc>
        <w:tc>
          <w:tcPr>
            <w:tcW w:w="1984" w:type="dxa"/>
          </w:tcPr>
          <w:p w14:paraId="6853C34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S*</w:t>
            </w:r>
            <w:proofErr w:type="spellStart"/>
            <w:r w:rsidRPr="0061602E">
              <w:rPr>
                <w:rFonts w:asciiTheme="majorBidi" w:hAnsiTheme="majorBidi" w:cstheme="majorBidi"/>
                <w:sz w:val="20"/>
                <w:szCs w:val="20"/>
              </w:rPr>
              <w:t>Mobarakeh</w:t>
            </w:r>
            <w:proofErr w:type="spellEnd"/>
            <w:r w:rsidRPr="0061602E">
              <w:rPr>
                <w:rFonts w:asciiTheme="majorBidi" w:hAnsiTheme="majorBidi" w:cstheme="majorBidi"/>
                <w:sz w:val="20"/>
                <w:szCs w:val="20"/>
              </w:rPr>
              <w:t xml:space="preserve"> Steel</w:t>
            </w:r>
          </w:p>
        </w:tc>
        <w:tc>
          <w:tcPr>
            <w:tcW w:w="2692" w:type="dxa"/>
          </w:tcPr>
          <w:p w14:paraId="7078450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lang w:bidi="fa-IR"/>
              </w:rPr>
            </w:pPr>
            <w:r>
              <w:rPr>
                <w:rFonts w:asciiTheme="majorBidi" w:hAnsiTheme="majorBidi" w:cstheme="majorBidi"/>
                <w:sz w:val="20"/>
                <w:szCs w:val="20"/>
              </w:rPr>
              <w:t>B</w:t>
            </w:r>
            <w:r w:rsidRPr="00F14306">
              <w:rPr>
                <w:rFonts w:asciiTheme="majorBidi" w:hAnsiTheme="majorBidi" w:cstheme="majorBidi"/>
                <w:sz w:val="20"/>
                <w:szCs w:val="20"/>
              </w:rPr>
              <w:t>asic metals</w:t>
            </w:r>
          </w:p>
        </w:tc>
      </w:tr>
      <w:tr w:rsidR="001374C9" w:rsidRPr="0061602E" w14:paraId="72413E07" w14:textId="77777777" w:rsidTr="008C53F0">
        <w:tc>
          <w:tcPr>
            <w:tcW w:w="1980" w:type="dxa"/>
          </w:tcPr>
          <w:p w14:paraId="6E3E8B7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Gol</w:t>
            </w:r>
            <w:proofErr w:type="spellEnd"/>
            <w:r w:rsidRPr="0061602E">
              <w:rPr>
                <w:rFonts w:asciiTheme="majorBidi" w:hAnsiTheme="majorBidi" w:cstheme="majorBidi"/>
                <w:sz w:val="20"/>
                <w:szCs w:val="20"/>
              </w:rPr>
              <w:t>-E-</w:t>
            </w:r>
            <w:proofErr w:type="spellStart"/>
            <w:r w:rsidRPr="0061602E">
              <w:rPr>
                <w:rFonts w:asciiTheme="majorBidi" w:hAnsiTheme="majorBidi" w:cstheme="majorBidi"/>
                <w:sz w:val="20"/>
                <w:szCs w:val="20"/>
              </w:rPr>
              <w:t>Gohar</w:t>
            </w:r>
            <w:proofErr w:type="spellEnd"/>
            <w:r w:rsidRPr="0061602E">
              <w:rPr>
                <w:rFonts w:asciiTheme="majorBidi" w:hAnsiTheme="majorBidi" w:cstheme="majorBidi"/>
                <w:sz w:val="20"/>
                <w:szCs w:val="20"/>
              </w:rPr>
              <w:t>.</w:t>
            </w:r>
          </w:p>
        </w:tc>
        <w:tc>
          <w:tcPr>
            <w:tcW w:w="2694" w:type="dxa"/>
          </w:tcPr>
          <w:p w14:paraId="70793CF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F14306">
              <w:rPr>
                <w:rFonts w:asciiTheme="majorBidi" w:hAnsiTheme="majorBidi" w:cstheme="majorBidi"/>
                <w:sz w:val="20"/>
                <w:szCs w:val="20"/>
              </w:rPr>
              <w:t>Extraction of metallic minerals</w:t>
            </w:r>
          </w:p>
        </w:tc>
        <w:tc>
          <w:tcPr>
            <w:tcW w:w="1984" w:type="dxa"/>
          </w:tcPr>
          <w:p w14:paraId="7625409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S*North Drilling</w:t>
            </w:r>
          </w:p>
        </w:tc>
        <w:tc>
          <w:tcPr>
            <w:tcW w:w="2692" w:type="dxa"/>
          </w:tcPr>
          <w:p w14:paraId="0E2D131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E</w:t>
            </w:r>
            <w:r w:rsidRPr="00507D1C">
              <w:rPr>
                <w:rFonts w:asciiTheme="majorBidi" w:hAnsiTheme="majorBidi" w:cstheme="majorBidi"/>
                <w:sz w:val="20"/>
                <w:szCs w:val="20"/>
              </w:rPr>
              <w:t>xtraction of oil and gas</w:t>
            </w:r>
          </w:p>
        </w:tc>
      </w:tr>
      <w:tr w:rsidR="001374C9" w:rsidRPr="0061602E" w14:paraId="6BCB8CD3" w14:textId="77777777" w:rsidTr="008C53F0">
        <w:tc>
          <w:tcPr>
            <w:tcW w:w="1980" w:type="dxa"/>
          </w:tcPr>
          <w:p w14:paraId="4BF57DF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Gorji</w:t>
            </w:r>
            <w:proofErr w:type="spellEnd"/>
            <w:r w:rsidRPr="0061602E">
              <w:rPr>
                <w:rFonts w:asciiTheme="majorBidi" w:hAnsiTheme="majorBidi" w:cstheme="majorBidi"/>
                <w:sz w:val="20"/>
                <w:szCs w:val="20"/>
              </w:rPr>
              <w:t xml:space="preserve"> Biscuit</w:t>
            </w:r>
          </w:p>
        </w:tc>
        <w:tc>
          <w:tcPr>
            <w:tcW w:w="2694" w:type="dxa"/>
          </w:tcPr>
          <w:p w14:paraId="23EF3F0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lang w:bidi="fa-IR"/>
              </w:rPr>
              <w:t>Food products</w:t>
            </w:r>
          </w:p>
        </w:tc>
        <w:tc>
          <w:tcPr>
            <w:tcW w:w="1984" w:type="dxa"/>
          </w:tcPr>
          <w:p w14:paraId="2C51F3D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7066D3">
              <w:rPr>
                <w:rFonts w:asciiTheme="majorBidi" w:hAnsiTheme="majorBidi" w:cstheme="majorBidi"/>
                <w:sz w:val="20"/>
                <w:szCs w:val="20"/>
              </w:rPr>
              <w:t xml:space="preserve">S*Pars </w:t>
            </w:r>
            <w:proofErr w:type="spellStart"/>
            <w:r w:rsidRPr="007066D3">
              <w:rPr>
                <w:rFonts w:asciiTheme="majorBidi" w:hAnsiTheme="majorBidi" w:cstheme="majorBidi"/>
                <w:sz w:val="20"/>
                <w:szCs w:val="20"/>
              </w:rPr>
              <w:t>Khodro</w:t>
            </w:r>
            <w:proofErr w:type="spellEnd"/>
          </w:p>
        </w:tc>
        <w:tc>
          <w:tcPr>
            <w:tcW w:w="2692" w:type="dxa"/>
          </w:tcPr>
          <w:p w14:paraId="5F055CF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3A429D">
              <w:rPr>
                <w:rFonts w:asciiTheme="majorBidi" w:hAnsiTheme="majorBidi" w:cstheme="majorBidi"/>
                <w:sz w:val="20"/>
                <w:szCs w:val="20"/>
              </w:rPr>
              <w:t>Automotive</w:t>
            </w:r>
          </w:p>
        </w:tc>
      </w:tr>
      <w:tr w:rsidR="001374C9" w:rsidRPr="0061602E" w14:paraId="4E1889CF" w14:textId="77777777" w:rsidTr="008C53F0">
        <w:tc>
          <w:tcPr>
            <w:tcW w:w="1980" w:type="dxa"/>
          </w:tcPr>
          <w:p w14:paraId="7AE65D7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 xml:space="preserve">I. </w:t>
            </w:r>
            <w:proofErr w:type="spellStart"/>
            <w:r w:rsidRPr="0061602E">
              <w:rPr>
                <w:rFonts w:asciiTheme="majorBidi" w:hAnsiTheme="majorBidi" w:cstheme="majorBidi"/>
                <w:sz w:val="20"/>
                <w:szCs w:val="20"/>
              </w:rPr>
              <w:t>Pegah</w:t>
            </w:r>
            <w:proofErr w:type="spellEnd"/>
            <w:r w:rsidRPr="0061602E">
              <w:rPr>
                <w:rFonts w:asciiTheme="majorBidi" w:hAnsiTheme="majorBidi" w:cstheme="majorBidi"/>
                <w:sz w:val="20"/>
                <w:szCs w:val="20"/>
              </w:rPr>
              <w:t xml:space="preserve"> Dairy</w:t>
            </w:r>
          </w:p>
        </w:tc>
        <w:tc>
          <w:tcPr>
            <w:tcW w:w="2694" w:type="dxa"/>
          </w:tcPr>
          <w:p w14:paraId="729D280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rPr>
              <w:t>Food products</w:t>
            </w:r>
          </w:p>
        </w:tc>
        <w:tc>
          <w:tcPr>
            <w:tcW w:w="1984" w:type="dxa"/>
          </w:tcPr>
          <w:p w14:paraId="12146CA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S*</w:t>
            </w:r>
            <w:proofErr w:type="spellStart"/>
            <w:r w:rsidRPr="0061602E">
              <w:rPr>
                <w:rFonts w:asciiTheme="majorBidi" w:hAnsiTheme="majorBidi" w:cstheme="majorBidi"/>
                <w:sz w:val="20"/>
                <w:szCs w:val="20"/>
              </w:rPr>
              <w:t>Saipa</w:t>
            </w:r>
            <w:proofErr w:type="spellEnd"/>
          </w:p>
        </w:tc>
        <w:tc>
          <w:tcPr>
            <w:tcW w:w="2692" w:type="dxa"/>
          </w:tcPr>
          <w:p w14:paraId="3498343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A429D">
              <w:rPr>
                <w:rFonts w:asciiTheme="majorBidi" w:hAnsiTheme="majorBidi" w:cstheme="majorBidi"/>
                <w:sz w:val="20"/>
                <w:szCs w:val="20"/>
              </w:rPr>
              <w:t>Automotive</w:t>
            </w:r>
          </w:p>
        </w:tc>
      </w:tr>
      <w:tr w:rsidR="001374C9" w:rsidRPr="0061602E" w14:paraId="2E339220" w14:textId="77777777" w:rsidTr="008C53F0">
        <w:tc>
          <w:tcPr>
            <w:tcW w:w="1980" w:type="dxa"/>
          </w:tcPr>
          <w:p w14:paraId="1E6BA3E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I. T. Foundry</w:t>
            </w:r>
          </w:p>
        </w:tc>
        <w:tc>
          <w:tcPr>
            <w:tcW w:w="2694" w:type="dxa"/>
          </w:tcPr>
          <w:p w14:paraId="227B259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539BE">
              <w:rPr>
                <w:rFonts w:asciiTheme="majorBidi" w:hAnsiTheme="majorBidi" w:cstheme="majorBidi"/>
                <w:sz w:val="20"/>
                <w:szCs w:val="20"/>
              </w:rPr>
              <w:t>Automotive</w:t>
            </w:r>
          </w:p>
        </w:tc>
        <w:tc>
          <w:tcPr>
            <w:tcW w:w="1984" w:type="dxa"/>
          </w:tcPr>
          <w:p w14:paraId="695CE6F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Saadi</w:t>
            </w:r>
            <w:proofErr w:type="spellEnd"/>
            <w:r w:rsidRPr="0061602E">
              <w:rPr>
                <w:rFonts w:asciiTheme="majorBidi" w:hAnsiTheme="majorBidi" w:cstheme="majorBidi"/>
                <w:sz w:val="20"/>
                <w:szCs w:val="20"/>
              </w:rPr>
              <w:t xml:space="preserve"> Tile</w:t>
            </w:r>
          </w:p>
        </w:tc>
        <w:tc>
          <w:tcPr>
            <w:tcW w:w="2692" w:type="dxa"/>
          </w:tcPr>
          <w:p w14:paraId="2C149F6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Tiles and ceramics</w:t>
            </w:r>
          </w:p>
        </w:tc>
      </w:tr>
      <w:tr w:rsidR="001374C9" w:rsidRPr="0061602E" w14:paraId="7849C49B" w14:textId="77777777" w:rsidTr="008C53F0">
        <w:tc>
          <w:tcPr>
            <w:tcW w:w="1980" w:type="dxa"/>
          </w:tcPr>
          <w:p w14:paraId="0B79A47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A70704">
              <w:rPr>
                <w:rFonts w:asciiTheme="majorBidi" w:hAnsiTheme="majorBidi" w:cstheme="majorBidi"/>
                <w:sz w:val="20"/>
                <w:szCs w:val="20"/>
              </w:rPr>
              <w:t>DADE1</w:t>
            </w:r>
          </w:p>
        </w:tc>
        <w:tc>
          <w:tcPr>
            <w:tcW w:w="2694" w:type="dxa"/>
          </w:tcPr>
          <w:p w14:paraId="54A6ACE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77553">
              <w:rPr>
                <w:rFonts w:asciiTheme="majorBidi" w:hAnsiTheme="majorBidi" w:cstheme="majorBidi"/>
                <w:sz w:val="20"/>
                <w:szCs w:val="20"/>
              </w:rPr>
              <w:t>Computers</w:t>
            </w:r>
          </w:p>
        </w:tc>
        <w:tc>
          <w:tcPr>
            <w:tcW w:w="1984" w:type="dxa"/>
          </w:tcPr>
          <w:p w14:paraId="19445E6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Saipa</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Azin</w:t>
            </w:r>
            <w:proofErr w:type="spellEnd"/>
          </w:p>
        </w:tc>
        <w:tc>
          <w:tcPr>
            <w:tcW w:w="2692" w:type="dxa"/>
          </w:tcPr>
          <w:p w14:paraId="6EE5931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A429D">
              <w:rPr>
                <w:rFonts w:asciiTheme="majorBidi" w:hAnsiTheme="majorBidi" w:cstheme="majorBidi"/>
                <w:sz w:val="20"/>
                <w:szCs w:val="20"/>
              </w:rPr>
              <w:t>Automotive</w:t>
            </w:r>
          </w:p>
        </w:tc>
      </w:tr>
      <w:tr w:rsidR="001374C9" w:rsidRPr="0061602E" w14:paraId="17304FD8" w14:textId="77777777" w:rsidTr="008C53F0">
        <w:tc>
          <w:tcPr>
            <w:tcW w:w="1980" w:type="dxa"/>
          </w:tcPr>
          <w:p w14:paraId="41085EE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Iran China Clay</w:t>
            </w:r>
          </w:p>
        </w:tc>
        <w:tc>
          <w:tcPr>
            <w:tcW w:w="2694" w:type="dxa"/>
          </w:tcPr>
          <w:p w14:paraId="792E843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D5421B">
              <w:rPr>
                <w:rFonts w:asciiTheme="majorBidi" w:hAnsiTheme="majorBidi" w:cstheme="majorBidi"/>
                <w:sz w:val="20"/>
                <w:szCs w:val="20"/>
              </w:rPr>
              <w:t>Non-metallic minerals</w:t>
            </w:r>
          </w:p>
        </w:tc>
        <w:tc>
          <w:tcPr>
            <w:tcW w:w="1984" w:type="dxa"/>
          </w:tcPr>
          <w:p w14:paraId="0893DF5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Saipa</w:t>
            </w:r>
            <w:proofErr w:type="spellEnd"/>
            <w:r w:rsidRPr="0061602E">
              <w:rPr>
                <w:rFonts w:asciiTheme="majorBidi" w:hAnsiTheme="majorBidi" w:cstheme="majorBidi"/>
                <w:sz w:val="20"/>
                <w:szCs w:val="20"/>
              </w:rPr>
              <w:t xml:space="preserve"> Diesel</w:t>
            </w:r>
          </w:p>
        </w:tc>
        <w:tc>
          <w:tcPr>
            <w:tcW w:w="2692" w:type="dxa"/>
          </w:tcPr>
          <w:p w14:paraId="2BEBFC0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A429D">
              <w:rPr>
                <w:rFonts w:asciiTheme="majorBidi" w:hAnsiTheme="majorBidi" w:cstheme="majorBidi"/>
                <w:sz w:val="20"/>
                <w:szCs w:val="20"/>
              </w:rPr>
              <w:t>Automotive</w:t>
            </w:r>
          </w:p>
        </w:tc>
      </w:tr>
      <w:tr w:rsidR="001374C9" w:rsidRPr="0061602E" w14:paraId="29AE35BC" w14:textId="77777777" w:rsidTr="008C53F0">
        <w:tc>
          <w:tcPr>
            <w:tcW w:w="1980" w:type="dxa"/>
          </w:tcPr>
          <w:p w14:paraId="3373C6E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Iran </w:t>
            </w:r>
            <w:proofErr w:type="spellStart"/>
            <w:r w:rsidRPr="0061602E">
              <w:rPr>
                <w:rFonts w:asciiTheme="majorBidi" w:hAnsiTheme="majorBidi" w:cstheme="majorBidi"/>
                <w:sz w:val="20"/>
                <w:szCs w:val="20"/>
              </w:rPr>
              <w:t>Darou</w:t>
            </w:r>
            <w:proofErr w:type="spellEnd"/>
          </w:p>
        </w:tc>
        <w:tc>
          <w:tcPr>
            <w:tcW w:w="2694" w:type="dxa"/>
          </w:tcPr>
          <w:p w14:paraId="7BA2063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c>
          <w:tcPr>
            <w:tcW w:w="1984" w:type="dxa"/>
          </w:tcPr>
          <w:p w14:paraId="11D59A0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lang w:bidi="fa-IR"/>
              </w:rPr>
              <w:t>Saipa</w:t>
            </w:r>
            <w:proofErr w:type="spellEnd"/>
            <w:r w:rsidRPr="0061602E">
              <w:rPr>
                <w:rFonts w:asciiTheme="majorBidi" w:hAnsiTheme="majorBidi" w:cstheme="majorBidi"/>
                <w:sz w:val="20"/>
                <w:szCs w:val="20"/>
                <w:lang w:bidi="fa-IR"/>
              </w:rPr>
              <w:t xml:space="preserve"> Glass</w:t>
            </w:r>
          </w:p>
        </w:tc>
        <w:tc>
          <w:tcPr>
            <w:tcW w:w="2692" w:type="dxa"/>
          </w:tcPr>
          <w:p w14:paraId="4A8349A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5421B">
              <w:rPr>
                <w:rFonts w:asciiTheme="majorBidi" w:hAnsiTheme="majorBidi" w:cstheme="majorBidi"/>
                <w:sz w:val="20"/>
                <w:szCs w:val="20"/>
              </w:rPr>
              <w:t>Non-metallic minerals</w:t>
            </w:r>
          </w:p>
        </w:tc>
      </w:tr>
      <w:tr w:rsidR="001374C9" w:rsidRPr="0061602E" w14:paraId="37E5933A" w14:textId="77777777" w:rsidTr="008C53F0">
        <w:tc>
          <w:tcPr>
            <w:tcW w:w="1980" w:type="dxa"/>
          </w:tcPr>
          <w:p w14:paraId="1B50368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 xml:space="preserve">Iran </w:t>
            </w:r>
            <w:proofErr w:type="spellStart"/>
            <w:r w:rsidRPr="0061602E">
              <w:rPr>
                <w:rFonts w:asciiTheme="majorBidi" w:hAnsiTheme="majorBidi" w:cstheme="majorBidi"/>
                <w:sz w:val="20"/>
                <w:szCs w:val="20"/>
              </w:rPr>
              <w:t>Ferr</w:t>
            </w:r>
            <w:proofErr w:type="spellEnd"/>
            <w:r w:rsidRPr="0061602E">
              <w:rPr>
                <w:rFonts w:asciiTheme="majorBidi" w:hAnsiTheme="majorBidi" w:cstheme="majorBidi"/>
                <w:sz w:val="20"/>
                <w:szCs w:val="20"/>
              </w:rPr>
              <w:t>.</w:t>
            </w:r>
          </w:p>
        </w:tc>
        <w:tc>
          <w:tcPr>
            <w:tcW w:w="2694" w:type="dxa"/>
          </w:tcPr>
          <w:p w14:paraId="6F47B81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B</w:t>
            </w:r>
            <w:r w:rsidRPr="00F14306">
              <w:rPr>
                <w:rFonts w:asciiTheme="majorBidi" w:hAnsiTheme="majorBidi" w:cstheme="majorBidi"/>
                <w:sz w:val="20"/>
                <w:szCs w:val="20"/>
              </w:rPr>
              <w:t>asic metals</w:t>
            </w:r>
          </w:p>
        </w:tc>
        <w:tc>
          <w:tcPr>
            <w:tcW w:w="1984" w:type="dxa"/>
          </w:tcPr>
          <w:p w14:paraId="2D6E6AA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Salemin</w:t>
            </w:r>
            <w:proofErr w:type="spellEnd"/>
            <w:r w:rsidRPr="0061602E">
              <w:rPr>
                <w:rFonts w:asciiTheme="majorBidi" w:hAnsiTheme="majorBidi" w:cstheme="majorBidi"/>
                <w:sz w:val="20"/>
                <w:szCs w:val="20"/>
              </w:rPr>
              <w:t xml:space="preserve"> Factory</w:t>
            </w:r>
          </w:p>
        </w:tc>
        <w:tc>
          <w:tcPr>
            <w:tcW w:w="2692" w:type="dxa"/>
          </w:tcPr>
          <w:p w14:paraId="7FFD6A5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rPr>
              <w:t>Food products</w:t>
            </w:r>
          </w:p>
        </w:tc>
      </w:tr>
      <w:tr w:rsidR="001374C9" w:rsidRPr="0061602E" w14:paraId="2E96C9E6" w14:textId="77777777" w:rsidTr="008C53F0">
        <w:tc>
          <w:tcPr>
            <w:tcW w:w="1980" w:type="dxa"/>
          </w:tcPr>
          <w:p w14:paraId="7D4DE93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Iran Glass Wool</w:t>
            </w:r>
          </w:p>
        </w:tc>
        <w:tc>
          <w:tcPr>
            <w:tcW w:w="2694" w:type="dxa"/>
          </w:tcPr>
          <w:p w14:paraId="30F8D85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5421B">
              <w:rPr>
                <w:rFonts w:asciiTheme="majorBidi" w:hAnsiTheme="majorBidi" w:cstheme="majorBidi"/>
                <w:sz w:val="20"/>
                <w:szCs w:val="20"/>
              </w:rPr>
              <w:t>Non-metallic minerals</w:t>
            </w:r>
          </w:p>
        </w:tc>
        <w:tc>
          <w:tcPr>
            <w:tcW w:w="1984" w:type="dxa"/>
          </w:tcPr>
          <w:p w14:paraId="558F86A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Sarma</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Afarin</w:t>
            </w:r>
            <w:proofErr w:type="spellEnd"/>
          </w:p>
        </w:tc>
        <w:tc>
          <w:tcPr>
            <w:tcW w:w="2692" w:type="dxa"/>
          </w:tcPr>
          <w:p w14:paraId="7E2D655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7A6248">
              <w:rPr>
                <w:rFonts w:asciiTheme="majorBidi" w:hAnsiTheme="majorBidi" w:cstheme="majorBidi"/>
                <w:sz w:val="20"/>
                <w:szCs w:val="20"/>
              </w:rPr>
              <w:t>Machinery &amp; Equipment</w:t>
            </w:r>
          </w:p>
        </w:tc>
      </w:tr>
      <w:tr w:rsidR="001374C9" w:rsidRPr="0061602E" w14:paraId="36BA55AA" w14:textId="77777777" w:rsidTr="008C53F0">
        <w:tc>
          <w:tcPr>
            <w:tcW w:w="1980" w:type="dxa"/>
          </w:tcPr>
          <w:p w14:paraId="69CC550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 xml:space="preserve">Iran </w:t>
            </w:r>
            <w:proofErr w:type="spellStart"/>
            <w:r w:rsidRPr="0061602E">
              <w:rPr>
                <w:rFonts w:asciiTheme="majorBidi" w:hAnsiTheme="majorBidi" w:cstheme="majorBidi"/>
                <w:sz w:val="20"/>
                <w:szCs w:val="20"/>
              </w:rPr>
              <w:t>Kh</w:t>
            </w:r>
            <w:proofErr w:type="spellEnd"/>
            <w:r w:rsidRPr="0061602E">
              <w:rPr>
                <w:rFonts w:asciiTheme="majorBidi" w:hAnsiTheme="majorBidi" w:cstheme="majorBidi"/>
                <w:sz w:val="20"/>
                <w:szCs w:val="20"/>
              </w:rPr>
              <w:t>. A. M.</w:t>
            </w:r>
          </w:p>
        </w:tc>
        <w:tc>
          <w:tcPr>
            <w:tcW w:w="2694" w:type="dxa"/>
          </w:tcPr>
          <w:p w14:paraId="5EE774B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539BE">
              <w:rPr>
                <w:rFonts w:asciiTheme="majorBidi" w:hAnsiTheme="majorBidi" w:cstheme="majorBidi"/>
                <w:sz w:val="20"/>
                <w:szCs w:val="20"/>
              </w:rPr>
              <w:t>Automotive</w:t>
            </w:r>
          </w:p>
        </w:tc>
        <w:tc>
          <w:tcPr>
            <w:tcW w:w="1984" w:type="dxa"/>
          </w:tcPr>
          <w:p w14:paraId="7074812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20D4E">
              <w:rPr>
                <w:rFonts w:asciiTheme="majorBidi" w:hAnsiTheme="majorBidi" w:cstheme="majorBidi"/>
                <w:sz w:val="20"/>
                <w:szCs w:val="20"/>
              </w:rPr>
              <w:t xml:space="preserve">S*Iran </w:t>
            </w:r>
            <w:proofErr w:type="spellStart"/>
            <w:r w:rsidRPr="00F20D4E">
              <w:rPr>
                <w:rFonts w:asciiTheme="majorBidi" w:hAnsiTheme="majorBidi" w:cstheme="majorBidi"/>
                <w:sz w:val="20"/>
                <w:szCs w:val="20"/>
              </w:rPr>
              <w:t>Transfo</w:t>
            </w:r>
            <w:proofErr w:type="spellEnd"/>
          </w:p>
        </w:tc>
        <w:tc>
          <w:tcPr>
            <w:tcW w:w="2692" w:type="dxa"/>
          </w:tcPr>
          <w:p w14:paraId="408B2FE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5B21A5">
              <w:rPr>
                <w:rFonts w:asciiTheme="majorBidi" w:hAnsiTheme="majorBidi" w:cstheme="majorBidi"/>
                <w:sz w:val="20"/>
                <w:szCs w:val="20"/>
              </w:rPr>
              <w:t>Electronical</w:t>
            </w:r>
            <w:proofErr w:type="spellEnd"/>
            <w:r w:rsidRPr="005B21A5">
              <w:rPr>
                <w:rFonts w:asciiTheme="majorBidi" w:hAnsiTheme="majorBidi" w:cstheme="majorBidi"/>
                <w:sz w:val="20"/>
                <w:szCs w:val="20"/>
              </w:rPr>
              <w:t xml:space="preserve"> Devices</w:t>
            </w:r>
          </w:p>
        </w:tc>
      </w:tr>
      <w:tr w:rsidR="001374C9" w:rsidRPr="0061602E" w14:paraId="349FA140" w14:textId="77777777" w:rsidTr="008C53F0">
        <w:tc>
          <w:tcPr>
            <w:tcW w:w="1980" w:type="dxa"/>
          </w:tcPr>
          <w:p w14:paraId="257527F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Iran </w:t>
            </w:r>
            <w:proofErr w:type="spellStart"/>
            <w:r w:rsidRPr="0061602E">
              <w:rPr>
                <w:rFonts w:asciiTheme="majorBidi" w:hAnsiTheme="majorBidi" w:cstheme="majorBidi"/>
                <w:sz w:val="20"/>
                <w:szCs w:val="20"/>
              </w:rPr>
              <w:t>Khodro</w:t>
            </w:r>
            <w:proofErr w:type="spellEnd"/>
          </w:p>
        </w:tc>
        <w:tc>
          <w:tcPr>
            <w:tcW w:w="2694" w:type="dxa"/>
          </w:tcPr>
          <w:p w14:paraId="1A89D91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A429D">
              <w:rPr>
                <w:rFonts w:asciiTheme="majorBidi" w:hAnsiTheme="majorBidi" w:cstheme="majorBidi"/>
                <w:sz w:val="20"/>
                <w:szCs w:val="20"/>
              </w:rPr>
              <w:t>Automotive</w:t>
            </w:r>
          </w:p>
        </w:tc>
        <w:tc>
          <w:tcPr>
            <w:tcW w:w="1984" w:type="dxa"/>
          </w:tcPr>
          <w:p w14:paraId="355AE67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Shahdiran</w:t>
            </w:r>
            <w:proofErr w:type="spellEnd"/>
            <w:r w:rsidRPr="0061602E">
              <w:rPr>
                <w:rFonts w:asciiTheme="majorBidi" w:hAnsiTheme="majorBidi" w:cstheme="majorBidi"/>
                <w:sz w:val="20"/>
                <w:szCs w:val="20"/>
              </w:rPr>
              <w:t xml:space="preserve"> Inc.</w:t>
            </w:r>
          </w:p>
        </w:tc>
        <w:tc>
          <w:tcPr>
            <w:tcW w:w="2692" w:type="dxa"/>
          </w:tcPr>
          <w:p w14:paraId="7B48D85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lang w:bidi="fa-IR"/>
              </w:rPr>
              <w:t>Food products</w:t>
            </w:r>
          </w:p>
        </w:tc>
      </w:tr>
      <w:tr w:rsidR="001374C9" w:rsidRPr="0061602E" w14:paraId="139B6190" w14:textId="77777777" w:rsidTr="008C53F0">
        <w:tc>
          <w:tcPr>
            <w:tcW w:w="1980" w:type="dxa"/>
          </w:tcPr>
          <w:p w14:paraId="6AF9D79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Iran Mineral P.</w:t>
            </w:r>
          </w:p>
        </w:tc>
        <w:tc>
          <w:tcPr>
            <w:tcW w:w="2694" w:type="dxa"/>
          </w:tcPr>
          <w:p w14:paraId="0DD160D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B</w:t>
            </w:r>
            <w:r w:rsidRPr="00F14306">
              <w:rPr>
                <w:rFonts w:asciiTheme="majorBidi" w:hAnsiTheme="majorBidi" w:cstheme="majorBidi"/>
                <w:sz w:val="20"/>
                <w:szCs w:val="20"/>
              </w:rPr>
              <w:t>asic metals</w:t>
            </w:r>
          </w:p>
        </w:tc>
        <w:tc>
          <w:tcPr>
            <w:tcW w:w="1984" w:type="dxa"/>
          </w:tcPr>
          <w:p w14:paraId="347C60E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lang w:bidi="fa-IR"/>
              </w:rPr>
              <w:t>Shahroud</w:t>
            </w:r>
            <w:proofErr w:type="spellEnd"/>
            <w:r w:rsidRPr="0061602E">
              <w:rPr>
                <w:rFonts w:asciiTheme="majorBidi" w:hAnsiTheme="majorBidi" w:cstheme="majorBidi"/>
                <w:sz w:val="20"/>
                <w:szCs w:val="20"/>
                <w:lang w:bidi="fa-IR"/>
              </w:rPr>
              <w:t xml:space="preserve"> Cement</w:t>
            </w:r>
          </w:p>
        </w:tc>
        <w:tc>
          <w:tcPr>
            <w:tcW w:w="2692" w:type="dxa"/>
          </w:tcPr>
          <w:p w14:paraId="229D9CF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r>
      <w:tr w:rsidR="001374C9" w:rsidRPr="0061602E" w14:paraId="4B4DF921" w14:textId="77777777" w:rsidTr="008C53F0">
        <w:tc>
          <w:tcPr>
            <w:tcW w:w="1980" w:type="dxa"/>
          </w:tcPr>
          <w:p w14:paraId="4AFA7CC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Iran </w:t>
            </w:r>
            <w:proofErr w:type="spellStart"/>
            <w:r w:rsidRPr="0061602E">
              <w:rPr>
                <w:rFonts w:asciiTheme="majorBidi" w:hAnsiTheme="majorBidi" w:cstheme="majorBidi"/>
                <w:sz w:val="20"/>
                <w:szCs w:val="20"/>
              </w:rPr>
              <w:t>Mn</w:t>
            </w:r>
            <w:proofErr w:type="spellEnd"/>
            <w:r w:rsidRPr="0061602E">
              <w:rPr>
                <w:rFonts w:asciiTheme="majorBidi" w:hAnsiTheme="majorBidi" w:cstheme="majorBidi"/>
                <w:sz w:val="20"/>
                <w:szCs w:val="20"/>
              </w:rPr>
              <w:t>. Mines</w:t>
            </w:r>
          </w:p>
        </w:tc>
        <w:tc>
          <w:tcPr>
            <w:tcW w:w="2694" w:type="dxa"/>
          </w:tcPr>
          <w:p w14:paraId="069178E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14306">
              <w:rPr>
                <w:rFonts w:asciiTheme="majorBidi" w:hAnsiTheme="majorBidi" w:cstheme="majorBidi"/>
                <w:sz w:val="20"/>
                <w:szCs w:val="20"/>
              </w:rPr>
              <w:t>Extraction of metallic minerals</w:t>
            </w:r>
          </w:p>
        </w:tc>
        <w:tc>
          <w:tcPr>
            <w:tcW w:w="1984" w:type="dxa"/>
          </w:tcPr>
          <w:p w14:paraId="15D7AF2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Shahroud</w:t>
            </w:r>
            <w:proofErr w:type="spellEnd"/>
            <w:r w:rsidRPr="0061602E">
              <w:rPr>
                <w:rFonts w:asciiTheme="majorBidi" w:hAnsiTheme="majorBidi" w:cstheme="majorBidi"/>
                <w:sz w:val="20"/>
                <w:szCs w:val="20"/>
              </w:rPr>
              <w:t xml:space="preserve"> Sugar</w:t>
            </w:r>
          </w:p>
        </w:tc>
        <w:tc>
          <w:tcPr>
            <w:tcW w:w="2692" w:type="dxa"/>
          </w:tcPr>
          <w:p w14:paraId="0E681DD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Sugar</w:t>
            </w:r>
          </w:p>
        </w:tc>
      </w:tr>
      <w:tr w:rsidR="001374C9" w:rsidRPr="0061602E" w14:paraId="5298A470" w14:textId="77777777" w:rsidTr="008C53F0">
        <w:tc>
          <w:tcPr>
            <w:tcW w:w="1980" w:type="dxa"/>
          </w:tcPr>
          <w:p w14:paraId="095B450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39179E">
              <w:rPr>
                <w:rFonts w:asciiTheme="majorBidi" w:hAnsiTheme="majorBidi" w:cstheme="majorBidi"/>
                <w:sz w:val="20"/>
                <w:szCs w:val="20"/>
              </w:rPr>
              <w:t>Iran Mobil Tele</w:t>
            </w:r>
          </w:p>
        </w:tc>
        <w:tc>
          <w:tcPr>
            <w:tcW w:w="2694" w:type="dxa"/>
          </w:tcPr>
          <w:p w14:paraId="0D73CF7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9179E">
              <w:rPr>
                <w:rFonts w:asciiTheme="majorBidi" w:hAnsiTheme="majorBidi" w:cstheme="majorBidi"/>
                <w:sz w:val="20"/>
                <w:szCs w:val="20"/>
              </w:rPr>
              <w:t>Telecommunications</w:t>
            </w:r>
          </w:p>
        </w:tc>
        <w:tc>
          <w:tcPr>
            <w:tcW w:w="1984" w:type="dxa"/>
          </w:tcPr>
          <w:p w14:paraId="2EEA213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Shazand</w:t>
            </w:r>
            <w:proofErr w:type="spellEnd"/>
            <w:r w:rsidRPr="0061602E">
              <w:rPr>
                <w:rFonts w:asciiTheme="majorBidi" w:hAnsiTheme="majorBidi" w:cstheme="majorBidi"/>
                <w:sz w:val="20"/>
                <w:szCs w:val="20"/>
              </w:rPr>
              <w:t xml:space="preserve"> Petr.</w:t>
            </w:r>
          </w:p>
        </w:tc>
        <w:tc>
          <w:tcPr>
            <w:tcW w:w="2692" w:type="dxa"/>
          </w:tcPr>
          <w:p w14:paraId="6708AB1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r>
      <w:tr w:rsidR="001374C9" w:rsidRPr="0061602E" w14:paraId="625B96D0" w14:textId="77777777" w:rsidTr="008C53F0">
        <w:tc>
          <w:tcPr>
            <w:tcW w:w="1980" w:type="dxa"/>
          </w:tcPr>
          <w:p w14:paraId="44E94C0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Iran Radiator</w:t>
            </w:r>
          </w:p>
        </w:tc>
        <w:tc>
          <w:tcPr>
            <w:tcW w:w="2694" w:type="dxa"/>
          </w:tcPr>
          <w:p w14:paraId="4516A59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539BE">
              <w:rPr>
                <w:rFonts w:asciiTheme="majorBidi" w:hAnsiTheme="majorBidi" w:cstheme="majorBidi"/>
                <w:sz w:val="20"/>
                <w:szCs w:val="20"/>
              </w:rPr>
              <w:t>Automotive</w:t>
            </w:r>
          </w:p>
        </w:tc>
        <w:tc>
          <w:tcPr>
            <w:tcW w:w="1984" w:type="dxa"/>
          </w:tcPr>
          <w:p w14:paraId="10DBBE7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Shiraz Petr.</w:t>
            </w:r>
          </w:p>
        </w:tc>
        <w:tc>
          <w:tcPr>
            <w:tcW w:w="2692" w:type="dxa"/>
          </w:tcPr>
          <w:p w14:paraId="5927AE6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r>
      <w:tr w:rsidR="001374C9" w:rsidRPr="0061602E" w14:paraId="4BD5590A" w14:textId="77777777" w:rsidTr="008C53F0">
        <w:tc>
          <w:tcPr>
            <w:tcW w:w="1980" w:type="dxa"/>
          </w:tcPr>
          <w:p w14:paraId="6EB5962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Iran Refract.</w:t>
            </w:r>
          </w:p>
        </w:tc>
        <w:tc>
          <w:tcPr>
            <w:tcW w:w="2694" w:type="dxa"/>
          </w:tcPr>
          <w:p w14:paraId="474D77C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5421B">
              <w:rPr>
                <w:rFonts w:asciiTheme="majorBidi" w:hAnsiTheme="majorBidi" w:cstheme="majorBidi"/>
                <w:sz w:val="20"/>
                <w:szCs w:val="20"/>
              </w:rPr>
              <w:t>Non-metallic minerals</w:t>
            </w:r>
          </w:p>
        </w:tc>
        <w:tc>
          <w:tcPr>
            <w:tcW w:w="1984" w:type="dxa"/>
          </w:tcPr>
          <w:p w14:paraId="01F82C6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Sina</w:t>
            </w:r>
            <w:proofErr w:type="spellEnd"/>
            <w:r w:rsidRPr="0061602E">
              <w:rPr>
                <w:rFonts w:asciiTheme="majorBidi" w:hAnsiTheme="majorBidi" w:cstheme="majorBidi"/>
                <w:sz w:val="20"/>
                <w:szCs w:val="20"/>
              </w:rPr>
              <w:t xml:space="preserve"> Chem. Ind.</w:t>
            </w:r>
          </w:p>
        </w:tc>
        <w:tc>
          <w:tcPr>
            <w:tcW w:w="2692" w:type="dxa"/>
          </w:tcPr>
          <w:p w14:paraId="28CC974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r>
      <w:tr w:rsidR="001374C9" w:rsidRPr="0061602E" w14:paraId="1BF99B1B" w14:textId="77777777" w:rsidTr="008C53F0">
        <w:tc>
          <w:tcPr>
            <w:tcW w:w="1980" w:type="dxa"/>
          </w:tcPr>
          <w:p w14:paraId="52C5ACF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Iran Tele. Co.</w:t>
            </w:r>
          </w:p>
        </w:tc>
        <w:tc>
          <w:tcPr>
            <w:tcW w:w="2694" w:type="dxa"/>
          </w:tcPr>
          <w:p w14:paraId="0489AC3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5421B">
              <w:rPr>
                <w:rFonts w:asciiTheme="majorBidi" w:hAnsiTheme="majorBidi" w:cstheme="majorBidi"/>
                <w:sz w:val="20"/>
                <w:szCs w:val="20"/>
              </w:rPr>
              <w:t>Telecommunications</w:t>
            </w:r>
          </w:p>
        </w:tc>
        <w:tc>
          <w:tcPr>
            <w:tcW w:w="1984" w:type="dxa"/>
          </w:tcPr>
          <w:p w14:paraId="30A0991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Sina</w:t>
            </w:r>
            <w:proofErr w:type="spellEnd"/>
            <w:r w:rsidRPr="0061602E">
              <w:rPr>
                <w:rFonts w:asciiTheme="majorBidi" w:hAnsiTheme="majorBidi" w:cstheme="majorBidi"/>
                <w:sz w:val="20"/>
                <w:szCs w:val="20"/>
              </w:rPr>
              <w:t xml:space="preserve"> Lab</w:t>
            </w:r>
          </w:p>
        </w:tc>
        <w:tc>
          <w:tcPr>
            <w:tcW w:w="2692" w:type="dxa"/>
          </w:tcPr>
          <w:p w14:paraId="1C1CE7E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r>
      <w:tr w:rsidR="001374C9" w:rsidRPr="0061602E" w14:paraId="7603643F" w14:textId="77777777" w:rsidTr="008C53F0">
        <w:tc>
          <w:tcPr>
            <w:tcW w:w="1980" w:type="dxa"/>
          </w:tcPr>
          <w:p w14:paraId="51C01CE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Iran Tire</w:t>
            </w:r>
          </w:p>
        </w:tc>
        <w:tc>
          <w:tcPr>
            <w:tcW w:w="2694" w:type="dxa"/>
          </w:tcPr>
          <w:p w14:paraId="52215EF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2C109F">
              <w:rPr>
                <w:rFonts w:asciiTheme="majorBidi" w:hAnsiTheme="majorBidi" w:cstheme="majorBidi"/>
                <w:sz w:val="20"/>
                <w:szCs w:val="20"/>
              </w:rPr>
              <w:t>Rubber</w:t>
            </w:r>
            <w:r>
              <w:rPr>
                <w:rFonts w:asciiTheme="majorBidi" w:hAnsiTheme="majorBidi" w:cstheme="majorBidi"/>
                <w:sz w:val="20"/>
                <w:szCs w:val="20"/>
              </w:rPr>
              <w:t xml:space="preserve"> </w:t>
            </w:r>
            <w:r w:rsidRPr="002C109F">
              <w:rPr>
                <w:rFonts w:asciiTheme="majorBidi" w:hAnsiTheme="majorBidi" w:cstheme="majorBidi"/>
                <w:sz w:val="20"/>
                <w:szCs w:val="20"/>
                <w:lang w:bidi="fa-IR"/>
              </w:rPr>
              <w:t>and plastic</w:t>
            </w:r>
          </w:p>
        </w:tc>
        <w:tc>
          <w:tcPr>
            <w:tcW w:w="1984" w:type="dxa"/>
          </w:tcPr>
          <w:p w14:paraId="654551D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Soufian</w:t>
            </w:r>
            <w:proofErr w:type="spellEnd"/>
            <w:r w:rsidRPr="0061602E">
              <w:rPr>
                <w:rFonts w:asciiTheme="majorBidi" w:hAnsiTheme="majorBidi" w:cstheme="majorBidi"/>
                <w:sz w:val="20"/>
                <w:szCs w:val="20"/>
              </w:rPr>
              <w:t xml:space="preserve"> Cement</w:t>
            </w:r>
          </w:p>
        </w:tc>
        <w:tc>
          <w:tcPr>
            <w:tcW w:w="2692" w:type="dxa"/>
          </w:tcPr>
          <w:p w14:paraId="2F62A29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r>
      <w:tr w:rsidR="001374C9" w:rsidRPr="0061602E" w14:paraId="7843211E" w14:textId="77777777" w:rsidTr="008C53F0">
        <w:tc>
          <w:tcPr>
            <w:tcW w:w="1980" w:type="dxa"/>
          </w:tcPr>
          <w:p w14:paraId="7B29C157"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Iran Tractor</w:t>
            </w:r>
          </w:p>
        </w:tc>
        <w:tc>
          <w:tcPr>
            <w:tcW w:w="2694" w:type="dxa"/>
          </w:tcPr>
          <w:p w14:paraId="0BEB1B9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7A6248">
              <w:rPr>
                <w:rFonts w:asciiTheme="majorBidi" w:hAnsiTheme="majorBidi" w:cstheme="majorBidi"/>
                <w:sz w:val="20"/>
                <w:szCs w:val="20"/>
              </w:rPr>
              <w:t>Machinery &amp; Equipment</w:t>
            </w:r>
          </w:p>
        </w:tc>
        <w:tc>
          <w:tcPr>
            <w:tcW w:w="1984" w:type="dxa"/>
          </w:tcPr>
          <w:p w14:paraId="558D785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D91195">
              <w:rPr>
                <w:rFonts w:asciiTheme="majorBidi" w:hAnsiTheme="majorBidi" w:cstheme="majorBidi"/>
                <w:sz w:val="20"/>
                <w:szCs w:val="20"/>
              </w:rPr>
              <w:t>Tabriz.Oil.Refine</w:t>
            </w:r>
            <w:proofErr w:type="spellEnd"/>
          </w:p>
        </w:tc>
        <w:tc>
          <w:tcPr>
            <w:tcW w:w="2692" w:type="dxa"/>
          </w:tcPr>
          <w:p w14:paraId="2F4EACA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D91195">
              <w:rPr>
                <w:rFonts w:asciiTheme="majorBidi" w:hAnsiTheme="majorBidi" w:cstheme="majorBidi"/>
                <w:sz w:val="20"/>
                <w:szCs w:val="20"/>
              </w:rPr>
              <w:t>Petroleum products</w:t>
            </w:r>
          </w:p>
        </w:tc>
      </w:tr>
      <w:tr w:rsidR="001374C9" w:rsidRPr="0061602E" w14:paraId="6FDD7C42" w14:textId="77777777" w:rsidTr="008C53F0">
        <w:tc>
          <w:tcPr>
            <w:tcW w:w="1980" w:type="dxa"/>
          </w:tcPr>
          <w:p w14:paraId="425A658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Jam Petr.</w:t>
            </w:r>
          </w:p>
        </w:tc>
        <w:tc>
          <w:tcPr>
            <w:tcW w:w="2694" w:type="dxa"/>
          </w:tcPr>
          <w:p w14:paraId="20F68A32"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E47E31">
              <w:rPr>
                <w:rFonts w:asciiTheme="majorBidi" w:hAnsiTheme="majorBidi" w:cstheme="majorBidi"/>
                <w:sz w:val="20"/>
                <w:szCs w:val="20"/>
              </w:rPr>
              <w:t>Chemicals</w:t>
            </w:r>
          </w:p>
        </w:tc>
        <w:tc>
          <w:tcPr>
            <w:tcW w:w="1984" w:type="dxa"/>
          </w:tcPr>
          <w:p w14:paraId="2D206DF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Tamin</w:t>
            </w:r>
            <w:proofErr w:type="spellEnd"/>
            <w:r w:rsidRPr="0061602E">
              <w:rPr>
                <w:rFonts w:asciiTheme="majorBidi" w:hAnsiTheme="majorBidi" w:cstheme="majorBidi"/>
                <w:sz w:val="20"/>
                <w:szCs w:val="20"/>
              </w:rPr>
              <w:t xml:space="preserve"> Petro.</w:t>
            </w:r>
          </w:p>
        </w:tc>
        <w:tc>
          <w:tcPr>
            <w:tcW w:w="2692" w:type="dxa"/>
          </w:tcPr>
          <w:p w14:paraId="50267ED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Chemicals</w:t>
            </w:r>
          </w:p>
        </w:tc>
      </w:tr>
      <w:tr w:rsidR="001374C9" w:rsidRPr="0061602E" w14:paraId="0B310E13" w14:textId="77777777" w:rsidTr="008C53F0">
        <w:tc>
          <w:tcPr>
            <w:tcW w:w="1980" w:type="dxa"/>
          </w:tcPr>
          <w:p w14:paraId="1EF4F4F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Iran </w:t>
            </w:r>
            <w:proofErr w:type="spellStart"/>
            <w:r w:rsidRPr="0061602E">
              <w:rPr>
                <w:rFonts w:asciiTheme="majorBidi" w:hAnsiTheme="majorBidi" w:cstheme="majorBidi"/>
                <w:sz w:val="20"/>
                <w:szCs w:val="20"/>
              </w:rPr>
              <w:t>Transfo</w:t>
            </w:r>
            <w:proofErr w:type="spellEnd"/>
          </w:p>
        </w:tc>
        <w:tc>
          <w:tcPr>
            <w:tcW w:w="2694" w:type="dxa"/>
          </w:tcPr>
          <w:p w14:paraId="3666DE2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5B21A5">
              <w:rPr>
                <w:rFonts w:asciiTheme="majorBidi" w:hAnsiTheme="majorBidi" w:cstheme="majorBidi"/>
                <w:sz w:val="20"/>
                <w:szCs w:val="20"/>
              </w:rPr>
              <w:t>Electronical</w:t>
            </w:r>
            <w:proofErr w:type="spellEnd"/>
            <w:r w:rsidRPr="005B21A5">
              <w:rPr>
                <w:rFonts w:asciiTheme="majorBidi" w:hAnsiTheme="majorBidi" w:cstheme="majorBidi"/>
                <w:sz w:val="20"/>
                <w:szCs w:val="20"/>
              </w:rPr>
              <w:t xml:space="preserve"> Devices</w:t>
            </w:r>
          </w:p>
        </w:tc>
        <w:tc>
          <w:tcPr>
            <w:tcW w:w="1984" w:type="dxa"/>
          </w:tcPr>
          <w:p w14:paraId="23666FD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lang w:bidi="fa-IR"/>
              </w:rPr>
              <w:t>Technotar</w:t>
            </w:r>
            <w:proofErr w:type="spellEnd"/>
          </w:p>
        </w:tc>
        <w:tc>
          <w:tcPr>
            <w:tcW w:w="2692" w:type="dxa"/>
          </w:tcPr>
          <w:p w14:paraId="2BDE535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lang w:bidi="fa-IR"/>
              </w:rPr>
            </w:pPr>
            <w:r w:rsidRPr="007A6248">
              <w:rPr>
                <w:rFonts w:asciiTheme="majorBidi" w:hAnsiTheme="majorBidi" w:cstheme="majorBidi"/>
                <w:sz w:val="20"/>
                <w:szCs w:val="20"/>
              </w:rPr>
              <w:t>Machinery &amp; Equipment</w:t>
            </w:r>
          </w:p>
        </w:tc>
      </w:tr>
      <w:tr w:rsidR="001374C9" w:rsidRPr="0061602E" w14:paraId="58A9C324" w14:textId="77777777" w:rsidTr="008C53F0">
        <w:tc>
          <w:tcPr>
            <w:tcW w:w="1980" w:type="dxa"/>
          </w:tcPr>
          <w:p w14:paraId="73F5A8F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r w:rsidRPr="0061602E">
              <w:rPr>
                <w:rFonts w:asciiTheme="majorBidi" w:hAnsiTheme="majorBidi" w:cstheme="majorBidi"/>
                <w:sz w:val="20"/>
                <w:szCs w:val="20"/>
              </w:rPr>
              <w:t xml:space="preserve">Iran </w:t>
            </w:r>
            <w:proofErr w:type="spellStart"/>
            <w:r w:rsidRPr="0061602E">
              <w:rPr>
                <w:rFonts w:asciiTheme="majorBidi" w:hAnsiTheme="majorBidi" w:cstheme="majorBidi"/>
                <w:sz w:val="20"/>
                <w:szCs w:val="20"/>
              </w:rPr>
              <w:t>Yasa</w:t>
            </w:r>
            <w:proofErr w:type="spellEnd"/>
            <w:r w:rsidRPr="0061602E">
              <w:rPr>
                <w:rFonts w:asciiTheme="majorBidi" w:hAnsiTheme="majorBidi" w:cstheme="majorBidi"/>
                <w:sz w:val="20"/>
                <w:szCs w:val="20"/>
              </w:rPr>
              <w:t xml:space="preserve"> Tire</w:t>
            </w:r>
          </w:p>
        </w:tc>
        <w:tc>
          <w:tcPr>
            <w:tcW w:w="2694" w:type="dxa"/>
          </w:tcPr>
          <w:p w14:paraId="3260298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2C109F">
              <w:rPr>
                <w:rFonts w:asciiTheme="majorBidi" w:hAnsiTheme="majorBidi" w:cstheme="majorBidi"/>
                <w:sz w:val="20"/>
                <w:szCs w:val="20"/>
              </w:rPr>
              <w:t>Rubber</w:t>
            </w:r>
            <w:r>
              <w:rPr>
                <w:rFonts w:asciiTheme="majorBidi" w:hAnsiTheme="majorBidi" w:cstheme="majorBidi"/>
                <w:sz w:val="20"/>
                <w:szCs w:val="20"/>
              </w:rPr>
              <w:t xml:space="preserve"> </w:t>
            </w:r>
            <w:r w:rsidRPr="002C109F">
              <w:rPr>
                <w:rFonts w:asciiTheme="majorBidi" w:hAnsiTheme="majorBidi" w:cstheme="majorBidi"/>
                <w:sz w:val="20"/>
                <w:szCs w:val="20"/>
                <w:lang w:bidi="fa-IR"/>
              </w:rPr>
              <w:t>and plastic</w:t>
            </w:r>
          </w:p>
        </w:tc>
        <w:tc>
          <w:tcPr>
            <w:tcW w:w="1984" w:type="dxa"/>
          </w:tcPr>
          <w:p w14:paraId="2E260E9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Tehran Cement</w:t>
            </w:r>
          </w:p>
        </w:tc>
        <w:tc>
          <w:tcPr>
            <w:tcW w:w="2692" w:type="dxa"/>
          </w:tcPr>
          <w:p w14:paraId="0509811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Cement, lime and plaster</w:t>
            </w:r>
          </w:p>
        </w:tc>
      </w:tr>
      <w:tr w:rsidR="001374C9" w:rsidRPr="0061602E" w14:paraId="6B10D9B8" w14:textId="77777777" w:rsidTr="008C53F0">
        <w:tc>
          <w:tcPr>
            <w:tcW w:w="1980" w:type="dxa"/>
          </w:tcPr>
          <w:p w14:paraId="03B024FB"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Iranmerinos</w:t>
            </w:r>
            <w:proofErr w:type="spellEnd"/>
          </w:p>
        </w:tc>
        <w:tc>
          <w:tcPr>
            <w:tcW w:w="2694" w:type="dxa"/>
          </w:tcPr>
          <w:p w14:paraId="1787700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BE43A8">
              <w:rPr>
                <w:rFonts w:asciiTheme="majorBidi" w:hAnsiTheme="majorBidi" w:cstheme="majorBidi"/>
                <w:sz w:val="20"/>
                <w:szCs w:val="20"/>
              </w:rPr>
              <w:t>textiles</w:t>
            </w:r>
          </w:p>
        </w:tc>
        <w:tc>
          <w:tcPr>
            <w:tcW w:w="1984" w:type="dxa"/>
          </w:tcPr>
          <w:p w14:paraId="41E26569"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Tidewater</w:t>
            </w:r>
          </w:p>
        </w:tc>
        <w:tc>
          <w:tcPr>
            <w:tcW w:w="2692" w:type="dxa"/>
          </w:tcPr>
          <w:p w14:paraId="255939F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07474F">
              <w:rPr>
                <w:rFonts w:asciiTheme="majorBidi" w:hAnsiTheme="majorBidi" w:cstheme="majorBidi"/>
                <w:sz w:val="20"/>
                <w:szCs w:val="20"/>
              </w:rPr>
              <w:t>Transportation</w:t>
            </w:r>
          </w:p>
        </w:tc>
      </w:tr>
      <w:tr w:rsidR="001374C9" w:rsidRPr="0061602E" w14:paraId="690D3865" w14:textId="77777777" w:rsidTr="008C53F0">
        <w:tc>
          <w:tcPr>
            <w:tcW w:w="1980" w:type="dxa"/>
          </w:tcPr>
          <w:p w14:paraId="007D5BC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Irka</w:t>
            </w:r>
            <w:proofErr w:type="spellEnd"/>
            <w:r w:rsidRPr="0061602E">
              <w:rPr>
                <w:rFonts w:asciiTheme="majorBidi" w:hAnsiTheme="majorBidi" w:cstheme="majorBidi"/>
                <w:sz w:val="20"/>
                <w:szCs w:val="20"/>
              </w:rPr>
              <w:t xml:space="preserve"> Part</w:t>
            </w:r>
          </w:p>
        </w:tc>
        <w:tc>
          <w:tcPr>
            <w:tcW w:w="2694" w:type="dxa"/>
          </w:tcPr>
          <w:p w14:paraId="6435FB5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539BE">
              <w:rPr>
                <w:rFonts w:asciiTheme="majorBidi" w:hAnsiTheme="majorBidi" w:cstheme="majorBidi"/>
                <w:sz w:val="20"/>
                <w:szCs w:val="20"/>
              </w:rPr>
              <w:t>Automotive</w:t>
            </w:r>
          </w:p>
        </w:tc>
        <w:tc>
          <w:tcPr>
            <w:tcW w:w="1984" w:type="dxa"/>
          </w:tcPr>
          <w:p w14:paraId="05F7241A"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Tuka</w:t>
            </w:r>
            <w:proofErr w:type="spellEnd"/>
            <w:r w:rsidRPr="0061602E">
              <w:rPr>
                <w:rFonts w:asciiTheme="majorBidi" w:hAnsiTheme="majorBidi" w:cstheme="majorBidi"/>
                <w:sz w:val="20"/>
                <w:szCs w:val="20"/>
              </w:rPr>
              <w:t xml:space="preserve"> Trans.</w:t>
            </w:r>
          </w:p>
        </w:tc>
        <w:tc>
          <w:tcPr>
            <w:tcW w:w="2692" w:type="dxa"/>
          </w:tcPr>
          <w:p w14:paraId="7530B7E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E47E31">
              <w:rPr>
                <w:rFonts w:asciiTheme="majorBidi" w:hAnsiTheme="majorBidi" w:cstheme="majorBidi"/>
                <w:sz w:val="20"/>
                <w:szCs w:val="20"/>
              </w:rPr>
              <w:t>Transportation</w:t>
            </w:r>
          </w:p>
        </w:tc>
      </w:tr>
      <w:tr w:rsidR="001374C9" w:rsidRPr="0061602E" w14:paraId="443AD95E" w14:textId="77777777" w:rsidTr="008C53F0">
        <w:tc>
          <w:tcPr>
            <w:tcW w:w="1980" w:type="dxa"/>
          </w:tcPr>
          <w:p w14:paraId="3B395C2C"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Isfahan Sugar</w:t>
            </w:r>
          </w:p>
        </w:tc>
        <w:tc>
          <w:tcPr>
            <w:tcW w:w="2694" w:type="dxa"/>
          </w:tcPr>
          <w:p w14:paraId="2291E9E4"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Pr>
                <w:rFonts w:asciiTheme="majorBidi" w:hAnsiTheme="majorBidi" w:cstheme="majorBidi"/>
                <w:sz w:val="20"/>
                <w:szCs w:val="20"/>
              </w:rPr>
              <w:t>Sugar</w:t>
            </w:r>
          </w:p>
        </w:tc>
        <w:tc>
          <w:tcPr>
            <w:tcW w:w="1984" w:type="dxa"/>
          </w:tcPr>
          <w:p w14:paraId="52C68480"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61602E">
              <w:rPr>
                <w:rFonts w:asciiTheme="majorBidi" w:hAnsiTheme="majorBidi" w:cstheme="majorBidi"/>
                <w:sz w:val="20"/>
                <w:szCs w:val="20"/>
              </w:rPr>
              <w:t xml:space="preserve">W. Azar. </w:t>
            </w:r>
            <w:proofErr w:type="spellStart"/>
            <w:r w:rsidRPr="0061602E">
              <w:rPr>
                <w:rFonts w:asciiTheme="majorBidi" w:hAnsiTheme="majorBidi" w:cstheme="majorBidi"/>
                <w:sz w:val="20"/>
                <w:szCs w:val="20"/>
              </w:rPr>
              <w:t>Pegah</w:t>
            </w:r>
            <w:proofErr w:type="spellEnd"/>
          </w:p>
        </w:tc>
        <w:tc>
          <w:tcPr>
            <w:tcW w:w="2692" w:type="dxa"/>
          </w:tcPr>
          <w:p w14:paraId="24D616F1"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rPr>
              <w:t>Food products</w:t>
            </w:r>
          </w:p>
        </w:tc>
      </w:tr>
      <w:tr w:rsidR="001374C9" w:rsidRPr="0061602E" w14:paraId="3CB8D393" w14:textId="77777777" w:rsidTr="008C53F0">
        <w:tc>
          <w:tcPr>
            <w:tcW w:w="1980" w:type="dxa"/>
          </w:tcPr>
          <w:p w14:paraId="20B1BF5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Jaam</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Darou</w:t>
            </w:r>
            <w:proofErr w:type="spellEnd"/>
          </w:p>
        </w:tc>
        <w:tc>
          <w:tcPr>
            <w:tcW w:w="2694" w:type="dxa"/>
          </w:tcPr>
          <w:p w14:paraId="5E07594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559EC">
              <w:rPr>
                <w:rFonts w:asciiTheme="majorBidi" w:hAnsiTheme="majorBidi" w:cstheme="majorBidi"/>
                <w:sz w:val="20"/>
                <w:szCs w:val="20"/>
              </w:rPr>
              <w:t>Manufacture of metal products</w:t>
            </w:r>
          </w:p>
        </w:tc>
        <w:tc>
          <w:tcPr>
            <w:tcW w:w="1984" w:type="dxa"/>
          </w:tcPr>
          <w:p w14:paraId="5AF8FAB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Zahravi</w:t>
            </w:r>
            <w:proofErr w:type="spellEnd"/>
            <w:r w:rsidRPr="0061602E">
              <w:rPr>
                <w:rFonts w:asciiTheme="majorBidi" w:hAnsiTheme="majorBidi" w:cstheme="majorBidi"/>
                <w:sz w:val="20"/>
                <w:szCs w:val="20"/>
              </w:rPr>
              <w:t xml:space="preserve"> Phar.</w:t>
            </w:r>
          </w:p>
        </w:tc>
        <w:tc>
          <w:tcPr>
            <w:tcW w:w="2692" w:type="dxa"/>
          </w:tcPr>
          <w:p w14:paraId="1CB73D5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r>
      <w:tr w:rsidR="001374C9" w:rsidRPr="0061602E" w14:paraId="3A1BD48E" w14:textId="77777777" w:rsidTr="008C53F0">
        <w:tc>
          <w:tcPr>
            <w:tcW w:w="1980" w:type="dxa"/>
          </w:tcPr>
          <w:p w14:paraId="1999853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tl/>
                <w:lang w:bidi="fa-IR"/>
              </w:rPr>
            </w:pPr>
            <w:proofErr w:type="spellStart"/>
            <w:r w:rsidRPr="0061602E">
              <w:rPr>
                <w:rFonts w:asciiTheme="majorBidi" w:hAnsiTheme="majorBidi" w:cstheme="majorBidi"/>
                <w:sz w:val="20"/>
                <w:szCs w:val="20"/>
              </w:rPr>
              <w:t>Jaber</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Hayan</w:t>
            </w:r>
            <w:proofErr w:type="spellEnd"/>
            <w:r w:rsidRPr="0061602E">
              <w:rPr>
                <w:rFonts w:asciiTheme="majorBidi" w:hAnsiTheme="majorBidi" w:cstheme="majorBidi"/>
                <w:sz w:val="20"/>
                <w:szCs w:val="20"/>
              </w:rPr>
              <w:t xml:space="preserve"> P.</w:t>
            </w:r>
          </w:p>
        </w:tc>
        <w:tc>
          <w:tcPr>
            <w:tcW w:w="2694" w:type="dxa"/>
          </w:tcPr>
          <w:p w14:paraId="3199895F"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FC639D">
              <w:rPr>
                <w:rFonts w:asciiTheme="majorBidi" w:hAnsiTheme="majorBidi" w:cstheme="majorBidi"/>
                <w:sz w:val="20"/>
                <w:szCs w:val="20"/>
              </w:rPr>
              <w:t>Pharma</w:t>
            </w:r>
          </w:p>
        </w:tc>
        <w:tc>
          <w:tcPr>
            <w:tcW w:w="1984" w:type="dxa"/>
          </w:tcPr>
          <w:p w14:paraId="6A37BFED"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Zamyad</w:t>
            </w:r>
            <w:proofErr w:type="spellEnd"/>
          </w:p>
        </w:tc>
        <w:tc>
          <w:tcPr>
            <w:tcW w:w="2692" w:type="dxa"/>
          </w:tcPr>
          <w:p w14:paraId="77CACCB3"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A429D">
              <w:rPr>
                <w:rFonts w:asciiTheme="majorBidi" w:hAnsiTheme="majorBidi" w:cstheme="majorBidi"/>
                <w:sz w:val="20"/>
                <w:szCs w:val="20"/>
              </w:rPr>
              <w:t>Automotive</w:t>
            </w:r>
          </w:p>
        </w:tc>
      </w:tr>
      <w:tr w:rsidR="001374C9" w:rsidRPr="0061602E" w14:paraId="1A6D8F4E" w14:textId="77777777" w:rsidTr="008C53F0">
        <w:tc>
          <w:tcPr>
            <w:tcW w:w="1980" w:type="dxa"/>
          </w:tcPr>
          <w:p w14:paraId="58B62A38"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61602E">
              <w:rPr>
                <w:rFonts w:asciiTheme="majorBidi" w:hAnsiTheme="majorBidi" w:cstheme="majorBidi"/>
                <w:sz w:val="20"/>
                <w:szCs w:val="20"/>
              </w:rPr>
              <w:t>Kh</w:t>
            </w:r>
            <w:proofErr w:type="spellEnd"/>
            <w:r w:rsidRPr="0061602E">
              <w:rPr>
                <w:rFonts w:asciiTheme="majorBidi" w:hAnsiTheme="majorBidi" w:cstheme="majorBidi"/>
                <w:sz w:val="20"/>
                <w:szCs w:val="20"/>
              </w:rPr>
              <w:t xml:space="preserve">. </w:t>
            </w:r>
            <w:proofErr w:type="spellStart"/>
            <w:r w:rsidRPr="0061602E">
              <w:rPr>
                <w:rFonts w:asciiTheme="majorBidi" w:hAnsiTheme="majorBidi" w:cstheme="majorBidi"/>
                <w:sz w:val="20"/>
                <w:szCs w:val="20"/>
              </w:rPr>
              <w:t>Pegah</w:t>
            </w:r>
            <w:proofErr w:type="spellEnd"/>
            <w:r w:rsidRPr="0061602E">
              <w:rPr>
                <w:rFonts w:asciiTheme="majorBidi" w:hAnsiTheme="majorBidi" w:cstheme="majorBidi"/>
                <w:sz w:val="20"/>
                <w:szCs w:val="20"/>
              </w:rPr>
              <w:t xml:space="preserve"> Dairy</w:t>
            </w:r>
          </w:p>
        </w:tc>
        <w:tc>
          <w:tcPr>
            <w:tcW w:w="2694" w:type="dxa"/>
          </w:tcPr>
          <w:p w14:paraId="5F7E8FFE"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5C1A17">
              <w:rPr>
                <w:rFonts w:asciiTheme="majorBidi" w:hAnsiTheme="majorBidi" w:cstheme="majorBidi"/>
                <w:sz w:val="20"/>
                <w:szCs w:val="20"/>
              </w:rPr>
              <w:t>Food products</w:t>
            </w:r>
          </w:p>
        </w:tc>
        <w:tc>
          <w:tcPr>
            <w:tcW w:w="1984" w:type="dxa"/>
          </w:tcPr>
          <w:p w14:paraId="1566E176"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c>
          <w:tcPr>
            <w:tcW w:w="2692" w:type="dxa"/>
          </w:tcPr>
          <w:p w14:paraId="26E42BB5" w14:textId="77777777" w:rsidR="001374C9" w:rsidRPr="0061602E" w:rsidRDefault="001374C9" w:rsidP="008C53F0">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
        </w:tc>
      </w:tr>
    </w:tbl>
    <w:p w14:paraId="07AD1A2E" w14:textId="16D20698" w:rsidR="00CE150C" w:rsidRPr="00341756" w:rsidRDefault="00CE150C" w:rsidP="00CE150C">
      <w:pPr>
        <w:jc w:val="both"/>
        <w:rPr>
          <w:rFonts w:asciiTheme="majorBidi" w:hAnsiTheme="majorBidi" w:cstheme="majorBidi"/>
          <w:sz w:val="24"/>
          <w:szCs w:val="24"/>
        </w:rPr>
      </w:pPr>
    </w:p>
    <w:p w14:paraId="1253AB52" w14:textId="73B369B2" w:rsidR="00CE150C" w:rsidRPr="00341756" w:rsidRDefault="00CE150C" w:rsidP="008A3CBE">
      <w:pPr>
        <w:jc w:val="both"/>
        <w:rPr>
          <w:rFonts w:asciiTheme="majorBidi" w:hAnsiTheme="majorBidi" w:cstheme="majorBidi"/>
          <w:sz w:val="24"/>
          <w:szCs w:val="24"/>
        </w:rPr>
      </w:pPr>
      <w:r w:rsidRPr="00341756">
        <w:rPr>
          <w:rFonts w:asciiTheme="majorBidi" w:hAnsiTheme="majorBidi" w:cstheme="majorBidi"/>
          <w:sz w:val="24"/>
          <w:szCs w:val="24"/>
        </w:rPr>
        <w:t>Appendix 2: Definition of the Variables</w:t>
      </w:r>
    </w:p>
    <w:tbl>
      <w:tblPr>
        <w:tblStyle w:val="TableGrid"/>
        <w:tblW w:w="0" w:type="auto"/>
        <w:tblLook w:val="04A0" w:firstRow="1" w:lastRow="0" w:firstColumn="1" w:lastColumn="0" w:noHBand="0" w:noVBand="1"/>
      </w:tblPr>
      <w:tblGrid>
        <w:gridCol w:w="1129"/>
        <w:gridCol w:w="8221"/>
      </w:tblGrid>
      <w:tr w:rsidR="00E72F87" w:rsidRPr="00341756" w14:paraId="56D3BCC9" w14:textId="77777777" w:rsidTr="003D6674">
        <w:tc>
          <w:tcPr>
            <w:tcW w:w="1129" w:type="dxa"/>
            <w:vAlign w:val="center"/>
          </w:tcPr>
          <w:p w14:paraId="512A1492"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lastRenderedPageBreak/>
              <w:t>Variables</w:t>
            </w:r>
          </w:p>
        </w:tc>
        <w:tc>
          <w:tcPr>
            <w:tcW w:w="8221" w:type="dxa"/>
          </w:tcPr>
          <w:p w14:paraId="566409AB"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Definition</w:t>
            </w:r>
          </w:p>
        </w:tc>
      </w:tr>
      <w:tr w:rsidR="00E72F87" w:rsidRPr="00341756" w14:paraId="029D1087" w14:textId="77777777" w:rsidTr="003D6674">
        <w:tc>
          <w:tcPr>
            <w:tcW w:w="1129" w:type="dxa"/>
            <w:vAlign w:val="center"/>
          </w:tcPr>
          <w:p w14:paraId="13FE58CB"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AO</w:t>
            </w:r>
          </w:p>
        </w:tc>
        <w:tc>
          <w:tcPr>
            <w:tcW w:w="8221" w:type="dxa"/>
          </w:tcPr>
          <w:p w14:paraId="1FA11B32"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auditor’s opinion</w:t>
            </w:r>
            <w:r w:rsidR="00A1247C" w:rsidRPr="00341756">
              <w:rPr>
                <w:rFonts w:asciiTheme="majorBidi" w:hAnsiTheme="majorBidi" w:cstheme="majorBidi"/>
                <w:sz w:val="20"/>
                <w:szCs w:val="20"/>
              </w:rPr>
              <w:t>:</w:t>
            </w:r>
            <w:r w:rsidR="00B20362" w:rsidRPr="00341756">
              <w:rPr>
                <w:rFonts w:asciiTheme="majorBidi" w:hAnsiTheme="majorBidi" w:cstheme="majorBidi"/>
                <w:sz w:val="20"/>
                <w:szCs w:val="20"/>
              </w:rPr>
              <w:t xml:space="preserve"> 1 if firm receives a modified audit opinion, otherwise 0</w:t>
            </w:r>
          </w:p>
        </w:tc>
      </w:tr>
      <w:tr w:rsidR="00E72F87" w:rsidRPr="00341756" w14:paraId="7E1CE0CA" w14:textId="77777777" w:rsidTr="003D6674">
        <w:tc>
          <w:tcPr>
            <w:tcW w:w="1129" w:type="dxa"/>
            <w:vAlign w:val="center"/>
          </w:tcPr>
          <w:p w14:paraId="5E8FC9D5"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CTA</w:t>
            </w:r>
          </w:p>
        </w:tc>
        <w:tc>
          <w:tcPr>
            <w:tcW w:w="8221" w:type="dxa"/>
          </w:tcPr>
          <w:p w14:paraId="4D3ED276" w14:textId="77777777" w:rsidR="00E72F87" w:rsidRPr="00341756" w:rsidRDefault="00A1247C"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Effective tax rate: the average ratio of the tax cost to the average pre-tax earnings during the last three years</w:t>
            </w:r>
          </w:p>
        </w:tc>
      </w:tr>
      <w:tr w:rsidR="00E72F87" w:rsidRPr="00341756" w14:paraId="649A66FF" w14:textId="77777777" w:rsidTr="003D6674">
        <w:tc>
          <w:tcPr>
            <w:tcW w:w="1129" w:type="dxa"/>
            <w:vAlign w:val="center"/>
          </w:tcPr>
          <w:p w14:paraId="34E8A31D"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MU</w:t>
            </w:r>
          </w:p>
        </w:tc>
        <w:tc>
          <w:tcPr>
            <w:tcW w:w="8221" w:type="dxa"/>
          </w:tcPr>
          <w:p w14:paraId="5BC66195" w14:textId="77777777" w:rsidR="00E72F87" w:rsidRPr="00341756" w:rsidRDefault="0057439F"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Market uncertainty:</w:t>
            </w:r>
            <w:r w:rsidR="00705C5A" w:rsidRPr="00341756">
              <w:rPr>
                <w:rFonts w:asciiTheme="majorBidi" w:hAnsiTheme="majorBidi" w:cstheme="majorBidi"/>
                <w:sz w:val="20"/>
                <w:szCs w:val="20"/>
              </w:rPr>
              <w:t xml:space="preserve"> standard deviation of market return on twelve month of the financial year</w:t>
            </w:r>
          </w:p>
        </w:tc>
      </w:tr>
      <w:tr w:rsidR="00E72F87" w:rsidRPr="00341756" w14:paraId="0C5E77B3" w14:textId="77777777" w:rsidTr="003D6674">
        <w:tc>
          <w:tcPr>
            <w:tcW w:w="1129" w:type="dxa"/>
            <w:vAlign w:val="center"/>
          </w:tcPr>
          <w:p w14:paraId="126E249F"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GOV</w:t>
            </w:r>
          </w:p>
        </w:tc>
        <w:tc>
          <w:tcPr>
            <w:tcW w:w="8221" w:type="dxa"/>
          </w:tcPr>
          <w:p w14:paraId="267FB564" w14:textId="77777777" w:rsidR="00E72F87" w:rsidRPr="00341756" w:rsidRDefault="00705C5A"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Government: number of shares held by the government divided by the total number of shares</w:t>
            </w:r>
          </w:p>
        </w:tc>
      </w:tr>
      <w:tr w:rsidR="00E72F87" w:rsidRPr="00341756" w14:paraId="2D5D3248" w14:textId="77777777" w:rsidTr="003D6674">
        <w:tc>
          <w:tcPr>
            <w:tcW w:w="1129" w:type="dxa"/>
            <w:vAlign w:val="center"/>
          </w:tcPr>
          <w:p w14:paraId="1F22D49D"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IND</w:t>
            </w:r>
          </w:p>
        </w:tc>
        <w:tc>
          <w:tcPr>
            <w:tcW w:w="8221" w:type="dxa"/>
          </w:tcPr>
          <w:p w14:paraId="1643428F" w14:textId="77777777" w:rsidR="00E72F87" w:rsidRPr="00341756" w:rsidRDefault="005D20FD"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Board independence:</w:t>
            </w:r>
            <w:r w:rsidRPr="00341756">
              <w:rPr>
                <w:sz w:val="20"/>
                <w:szCs w:val="20"/>
              </w:rPr>
              <w:t xml:space="preserve"> </w:t>
            </w:r>
            <w:r w:rsidRPr="00341756">
              <w:rPr>
                <w:rFonts w:asciiTheme="majorBidi" w:hAnsiTheme="majorBidi" w:cstheme="majorBidi"/>
                <w:sz w:val="20"/>
                <w:szCs w:val="20"/>
              </w:rPr>
              <w:t>number of non-executive directors to the all board members</w:t>
            </w:r>
          </w:p>
        </w:tc>
      </w:tr>
      <w:tr w:rsidR="00E72F87" w:rsidRPr="00341756" w14:paraId="1B2E7ABA" w14:textId="77777777" w:rsidTr="003D6674">
        <w:tc>
          <w:tcPr>
            <w:tcW w:w="1129" w:type="dxa"/>
            <w:vAlign w:val="center"/>
          </w:tcPr>
          <w:p w14:paraId="6B5EAED3"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Duality</w:t>
            </w:r>
          </w:p>
        </w:tc>
        <w:tc>
          <w:tcPr>
            <w:tcW w:w="8221" w:type="dxa"/>
          </w:tcPr>
          <w:p w14:paraId="2A65B71C" w14:textId="77777777" w:rsidR="00E72F87" w:rsidRPr="00341756" w:rsidRDefault="00962EBA"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CEO duality: 1 i</w:t>
            </w:r>
            <w:r w:rsidR="00E67461" w:rsidRPr="00341756">
              <w:rPr>
                <w:rFonts w:asciiTheme="majorBidi" w:hAnsiTheme="majorBidi" w:cstheme="majorBidi"/>
                <w:sz w:val="20"/>
                <w:szCs w:val="20"/>
              </w:rPr>
              <w:t xml:space="preserve">f the CEO serves as board chair, </w:t>
            </w:r>
            <w:r w:rsidRPr="00341756">
              <w:rPr>
                <w:rFonts w:asciiTheme="majorBidi" w:hAnsiTheme="majorBidi" w:cstheme="majorBidi"/>
                <w:sz w:val="20"/>
                <w:szCs w:val="20"/>
              </w:rPr>
              <w:t>otherwise</w:t>
            </w:r>
            <w:r w:rsidR="00E67461" w:rsidRPr="00341756">
              <w:rPr>
                <w:rFonts w:asciiTheme="majorBidi" w:hAnsiTheme="majorBidi" w:cstheme="majorBidi"/>
                <w:sz w:val="20"/>
                <w:szCs w:val="20"/>
              </w:rPr>
              <w:t xml:space="preserve"> 0</w:t>
            </w:r>
          </w:p>
        </w:tc>
      </w:tr>
      <w:tr w:rsidR="00E72F87" w:rsidRPr="00341756" w14:paraId="0625D569" w14:textId="77777777" w:rsidTr="003D6674">
        <w:tc>
          <w:tcPr>
            <w:tcW w:w="1129" w:type="dxa"/>
            <w:vAlign w:val="center"/>
          </w:tcPr>
          <w:p w14:paraId="6126E4F8"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Size</w:t>
            </w:r>
          </w:p>
        </w:tc>
        <w:tc>
          <w:tcPr>
            <w:tcW w:w="8221" w:type="dxa"/>
          </w:tcPr>
          <w:p w14:paraId="2C2AEF29" w14:textId="77777777" w:rsidR="00E72F87" w:rsidRPr="00341756" w:rsidRDefault="00FD73D8"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 xml:space="preserve">Firm </w:t>
            </w:r>
            <w:r w:rsidR="0057439F" w:rsidRPr="00341756">
              <w:rPr>
                <w:rFonts w:asciiTheme="majorBidi" w:hAnsiTheme="majorBidi" w:cstheme="majorBidi"/>
                <w:sz w:val="20"/>
                <w:szCs w:val="20"/>
              </w:rPr>
              <w:t>s</w:t>
            </w:r>
            <w:r w:rsidRPr="00341756">
              <w:rPr>
                <w:rFonts w:asciiTheme="majorBidi" w:hAnsiTheme="majorBidi" w:cstheme="majorBidi"/>
                <w:sz w:val="20"/>
                <w:szCs w:val="20"/>
              </w:rPr>
              <w:t>ize: natural logarithm of total assets</w:t>
            </w:r>
          </w:p>
        </w:tc>
      </w:tr>
      <w:tr w:rsidR="00E72F87" w:rsidRPr="00341756" w14:paraId="50548E5B" w14:textId="77777777" w:rsidTr="003D6674">
        <w:tc>
          <w:tcPr>
            <w:tcW w:w="1129" w:type="dxa"/>
            <w:vAlign w:val="center"/>
          </w:tcPr>
          <w:p w14:paraId="7478C4A1"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ROA</w:t>
            </w:r>
          </w:p>
        </w:tc>
        <w:tc>
          <w:tcPr>
            <w:tcW w:w="8221" w:type="dxa"/>
          </w:tcPr>
          <w:p w14:paraId="581C4A20" w14:textId="77777777" w:rsidR="00E72F87" w:rsidRPr="00341756" w:rsidRDefault="00A1247C"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Return on assets</w:t>
            </w:r>
            <w:r w:rsidR="00FD73D8" w:rsidRPr="00341756">
              <w:rPr>
                <w:rFonts w:asciiTheme="majorBidi" w:hAnsiTheme="majorBidi" w:cstheme="majorBidi"/>
                <w:sz w:val="20"/>
                <w:szCs w:val="20"/>
              </w:rPr>
              <w:t>:</w:t>
            </w:r>
            <w:r w:rsidRPr="00341756">
              <w:rPr>
                <w:rFonts w:asciiTheme="majorBidi" w:hAnsiTheme="majorBidi" w:cstheme="majorBidi"/>
                <w:sz w:val="20"/>
                <w:szCs w:val="20"/>
              </w:rPr>
              <w:t xml:space="preserve"> ratio of net income to total assets</w:t>
            </w:r>
          </w:p>
        </w:tc>
      </w:tr>
      <w:tr w:rsidR="00E72F87" w:rsidRPr="00341756" w14:paraId="5C2AAB94" w14:textId="77777777" w:rsidTr="003D6674">
        <w:tc>
          <w:tcPr>
            <w:tcW w:w="1129" w:type="dxa"/>
            <w:vAlign w:val="center"/>
          </w:tcPr>
          <w:p w14:paraId="56E62601"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LEV</w:t>
            </w:r>
          </w:p>
        </w:tc>
        <w:tc>
          <w:tcPr>
            <w:tcW w:w="8221" w:type="dxa"/>
          </w:tcPr>
          <w:p w14:paraId="564CD23F" w14:textId="77777777" w:rsidR="00E72F87" w:rsidRPr="00341756" w:rsidRDefault="00A1247C"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Leverage</w:t>
            </w:r>
            <w:r w:rsidR="00FD73D8" w:rsidRPr="00341756">
              <w:rPr>
                <w:rFonts w:asciiTheme="majorBidi" w:hAnsiTheme="majorBidi" w:cstheme="majorBidi"/>
                <w:sz w:val="20"/>
                <w:szCs w:val="20"/>
              </w:rPr>
              <w:t>:</w:t>
            </w:r>
            <w:r w:rsidRPr="00341756">
              <w:rPr>
                <w:rFonts w:asciiTheme="majorBidi" w:hAnsiTheme="majorBidi" w:cstheme="majorBidi"/>
                <w:sz w:val="20"/>
                <w:szCs w:val="20"/>
              </w:rPr>
              <w:t xml:space="preserve"> ratio of total debts to total assets</w:t>
            </w:r>
          </w:p>
        </w:tc>
      </w:tr>
      <w:tr w:rsidR="00E72F87" w:rsidRPr="00341756" w14:paraId="226D013B" w14:textId="77777777" w:rsidTr="003D6674">
        <w:tc>
          <w:tcPr>
            <w:tcW w:w="1129" w:type="dxa"/>
            <w:vAlign w:val="center"/>
          </w:tcPr>
          <w:p w14:paraId="6C052DCC"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MTB</w:t>
            </w:r>
          </w:p>
        </w:tc>
        <w:tc>
          <w:tcPr>
            <w:tcW w:w="8221" w:type="dxa"/>
          </w:tcPr>
          <w:p w14:paraId="1DBACD91" w14:textId="77777777" w:rsidR="00E72F87" w:rsidRPr="00341756" w:rsidRDefault="00FD73D8"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Market-to-book ratio: market value of a listed firm divided by book value of the firm</w:t>
            </w:r>
          </w:p>
        </w:tc>
      </w:tr>
      <w:tr w:rsidR="00E72F87" w:rsidRPr="00341756" w14:paraId="6BC63DEC" w14:textId="77777777" w:rsidTr="003D6674">
        <w:tc>
          <w:tcPr>
            <w:tcW w:w="1129" w:type="dxa"/>
            <w:vAlign w:val="center"/>
          </w:tcPr>
          <w:p w14:paraId="4AD4E7D6"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FDISTER</w:t>
            </w:r>
          </w:p>
        </w:tc>
        <w:tc>
          <w:tcPr>
            <w:tcW w:w="8221" w:type="dxa"/>
          </w:tcPr>
          <w:p w14:paraId="64CEC772" w14:textId="77777777" w:rsidR="00E72F87" w:rsidRPr="00341756" w:rsidRDefault="00966902"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Financial distress:</w:t>
            </w:r>
            <w:r w:rsidR="0014661A" w:rsidRPr="00341756">
              <w:rPr>
                <w:rFonts w:asciiTheme="majorBidi" w:hAnsiTheme="majorBidi" w:cstheme="majorBidi"/>
                <w:sz w:val="20"/>
                <w:szCs w:val="20"/>
              </w:rPr>
              <w:t xml:space="preserve"> The Altman Z Score is used to predict firm bankruptcy</w:t>
            </w:r>
          </w:p>
        </w:tc>
      </w:tr>
      <w:tr w:rsidR="00E72F87" w:rsidRPr="00341756" w14:paraId="7FC060AC" w14:textId="77777777" w:rsidTr="003D6674">
        <w:tc>
          <w:tcPr>
            <w:tcW w:w="1129" w:type="dxa"/>
            <w:vAlign w:val="center"/>
          </w:tcPr>
          <w:p w14:paraId="2F427AF3"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proofErr w:type="spellStart"/>
            <w:r w:rsidRPr="00341756">
              <w:rPr>
                <w:rFonts w:asciiTheme="majorBidi" w:hAnsiTheme="majorBidi" w:cstheme="majorBidi"/>
                <w:sz w:val="20"/>
                <w:szCs w:val="20"/>
              </w:rPr>
              <w:t>Intan</w:t>
            </w:r>
            <w:proofErr w:type="spellEnd"/>
          </w:p>
        </w:tc>
        <w:tc>
          <w:tcPr>
            <w:tcW w:w="8221" w:type="dxa"/>
          </w:tcPr>
          <w:p w14:paraId="24738BA1" w14:textId="77777777" w:rsidR="00E72F87" w:rsidRPr="00341756" w:rsidRDefault="00203A34"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Intangible assets:  ratio of intangible assets to total assets</w:t>
            </w:r>
          </w:p>
        </w:tc>
      </w:tr>
      <w:tr w:rsidR="00E72F87" w:rsidRPr="008A3CBE" w14:paraId="66E50766" w14:textId="77777777" w:rsidTr="003D6674">
        <w:tc>
          <w:tcPr>
            <w:tcW w:w="1129" w:type="dxa"/>
            <w:vAlign w:val="center"/>
          </w:tcPr>
          <w:p w14:paraId="1249A7BD" w14:textId="77777777" w:rsidR="00E72F87" w:rsidRPr="00341756" w:rsidRDefault="00E72F87"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BIG</w:t>
            </w:r>
          </w:p>
        </w:tc>
        <w:tc>
          <w:tcPr>
            <w:tcW w:w="8221" w:type="dxa"/>
          </w:tcPr>
          <w:p w14:paraId="2EB4BDE0" w14:textId="77777777" w:rsidR="00E72F87" w:rsidRPr="008A3CBE" w:rsidRDefault="00081C30" w:rsidP="007D21BB">
            <w:pPr>
              <w:pBdr>
                <w:top w:val="none" w:sz="0" w:space="0" w:color="auto"/>
                <w:left w:val="none" w:sz="0" w:space="0" w:color="auto"/>
                <w:bottom w:val="none" w:sz="0" w:space="0" w:color="auto"/>
                <w:right w:val="none" w:sz="0" w:space="0" w:color="auto"/>
                <w:between w:val="none" w:sz="0" w:space="0" w:color="auto"/>
              </w:pBdr>
              <w:jc w:val="both"/>
              <w:rPr>
                <w:rFonts w:asciiTheme="majorBidi" w:hAnsiTheme="majorBidi" w:cstheme="majorBidi"/>
                <w:sz w:val="20"/>
                <w:szCs w:val="20"/>
              </w:rPr>
            </w:pPr>
            <w:r w:rsidRPr="00341756">
              <w:rPr>
                <w:rFonts w:asciiTheme="majorBidi" w:hAnsiTheme="majorBidi" w:cstheme="majorBidi"/>
                <w:sz w:val="20"/>
                <w:szCs w:val="20"/>
              </w:rPr>
              <w:t>Big a</w:t>
            </w:r>
            <w:r w:rsidR="00210AFF" w:rsidRPr="00341756">
              <w:rPr>
                <w:rFonts w:asciiTheme="majorBidi" w:hAnsiTheme="majorBidi" w:cstheme="majorBidi"/>
                <w:sz w:val="20"/>
                <w:szCs w:val="20"/>
              </w:rPr>
              <w:t xml:space="preserve">uditor: </w:t>
            </w:r>
            <w:r w:rsidRPr="00341756">
              <w:rPr>
                <w:rFonts w:asciiTheme="majorBidi" w:hAnsiTheme="majorBidi" w:cstheme="majorBidi"/>
                <w:sz w:val="20"/>
                <w:szCs w:val="20"/>
              </w:rPr>
              <w:t>1 if the firm auditor is audit organization, otherwise 0</w:t>
            </w:r>
          </w:p>
        </w:tc>
      </w:tr>
    </w:tbl>
    <w:p w14:paraId="7B59C9C4" w14:textId="77777777" w:rsidR="00E72F87" w:rsidRDefault="00E72F87" w:rsidP="007D21BB">
      <w:pPr>
        <w:jc w:val="both"/>
        <w:rPr>
          <w:rFonts w:asciiTheme="majorBidi" w:hAnsiTheme="majorBidi" w:cstheme="majorBidi"/>
          <w:sz w:val="24"/>
          <w:szCs w:val="24"/>
        </w:rPr>
      </w:pPr>
    </w:p>
    <w:sectPr w:rsidR="00E72F87">
      <w:footerReference w:type="even" r:id="rId91"/>
      <w:footerReference w:type="default" r:id="rId92"/>
      <w:footnotePr>
        <w:numRestart w:val="eachPage"/>
      </w:footnotePr>
      <w:pgSz w:w="12240" w:h="15840"/>
      <w:pgMar w:top="1440" w:right="1440" w:bottom="1440" w:left="1440" w:header="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BC20" w16cex:dateUtc="2020-04-28T10:28:00Z"/>
  <w16cex:commentExtensible w16cex:durableId="2252C2E0" w16cex:dateUtc="2020-04-28T10:57:00Z"/>
  <w16cex:commentExtensible w16cex:durableId="225351BC" w16cex:dateUtc="2020-04-28T21:07:00Z"/>
  <w16cex:commentExtensible w16cex:durableId="2252CC5E" w16cex:dateUtc="2020-04-28T11:38:00Z"/>
  <w16cex:commentExtensible w16cex:durableId="225351EC" w16cex:dateUtc="2020-04-28T21:07:00Z"/>
  <w16cex:commentExtensible w16cex:durableId="22534893" w16cex:dateUtc="2020-04-28T20:28:00Z"/>
  <w16cex:commentExtensible w16cex:durableId="22534918" w16cex:dateUtc="2020-04-28T20:30:00Z"/>
  <w16cex:commentExtensible w16cex:durableId="22534B09" w16cex:dateUtc="2020-04-28T20:38:00Z"/>
  <w16cex:commentExtensible w16cex:durableId="22534CD9" w16cex:dateUtc="2020-04-28T2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E32301" w16cid:durableId="2252BC20"/>
  <w16cid:commentId w16cid:paraId="3FC6E213" w16cid:durableId="2252C2E0"/>
  <w16cid:commentId w16cid:paraId="297BC748" w16cid:durableId="225351BC"/>
  <w16cid:commentId w16cid:paraId="3DD2CB9C" w16cid:durableId="2252CC5E"/>
  <w16cid:commentId w16cid:paraId="0D271E32" w16cid:durableId="225351EC"/>
  <w16cid:commentId w16cid:paraId="02D2C94F" w16cid:durableId="22534893"/>
  <w16cid:commentId w16cid:paraId="6D9A492B" w16cid:durableId="22534918"/>
  <w16cid:commentId w16cid:paraId="4E2A65CE" w16cid:durableId="22534B09"/>
  <w16cid:commentId w16cid:paraId="06F87639" w16cid:durableId="22534C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7478" w14:textId="77777777" w:rsidR="007021F1" w:rsidRDefault="007021F1" w:rsidP="002A64B9">
      <w:pPr>
        <w:spacing w:after="0" w:line="240" w:lineRule="auto"/>
      </w:pPr>
      <w:r>
        <w:separator/>
      </w:r>
    </w:p>
  </w:endnote>
  <w:endnote w:type="continuationSeparator" w:id="0">
    <w:p w14:paraId="58C05E22" w14:textId="77777777" w:rsidR="007021F1" w:rsidRDefault="007021F1" w:rsidP="002A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1819739"/>
      <w:docPartObj>
        <w:docPartGallery w:val="Page Numbers (Bottom of Page)"/>
        <w:docPartUnique/>
      </w:docPartObj>
    </w:sdtPr>
    <w:sdtEndPr>
      <w:rPr>
        <w:rStyle w:val="PageNumber"/>
      </w:rPr>
    </w:sdtEndPr>
    <w:sdtContent>
      <w:p w14:paraId="0FFF401F" w14:textId="4706C71F" w:rsidR="008C53F0" w:rsidRDefault="008C53F0" w:rsidP="004578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681BCD" w14:textId="77777777" w:rsidR="008C53F0" w:rsidRDefault="008C53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A68B" w14:textId="697C0208" w:rsidR="008C53F0" w:rsidRDefault="008C53F0" w:rsidP="00A0722E">
    <w:pPr>
      <w:pStyle w:val="Footer"/>
      <w:framePr w:wrap="none" w:vAnchor="text" w:hAnchor="margin" w:xAlign="center" w:y="1"/>
      <w:rPr>
        <w:rStyle w:val="PageNumber"/>
      </w:rPr>
    </w:pPr>
  </w:p>
  <w:p w14:paraId="61B0B3C6" w14:textId="77777777" w:rsidR="008C53F0" w:rsidRDefault="008C53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34066" w14:textId="77777777" w:rsidR="007021F1" w:rsidRDefault="007021F1" w:rsidP="002A64B9">
      <w:pPr>
        <w:spacing w:after="0" w:line="240" w:lineRule="auto"/>
      </w:pPr>
      <w:r>
        <w:separator/>
      </w:r>
    </w:p>
  </w:footnote>
  <w:footnote w:type="continuationSeparator" w:id="0">
    <w:p w14:paraId="62B2A83A" w14:textId="77777777" w:rsidR="007021F1" w:rsidRDefault="007021F1" w:rsidP="002A64B9">
      <w:pPr>
        <w:spacing w:after="0" w:line="240" w:lineRule="auto"/>
      </w:pPr>
      <w:r>
        <w:continuationSeparator/>
      </w:r>
    </w:p>
  </w:footnote>
  <w:footnote w:id="1">
    <w:p w14:paraId="0EB1AD26" w14:textId="3C1524D7" w:rsidR="008C53F0" w:rsidRDefault="008C53F0" w:rsidP="00A37437">
      <w:pPr>
        <w:pStyle w:val="FootnoteText"/>
      </w:pPr>
      <w:r>
        <w:rPr>
          <w:rStyle w:val="FootnoteReference"/>
        </w:rPr>
        <w:footnoteRef/>
      </w:r>
      <w:r>
        <w:t xml:space="preserve"> Petrochemicals, </w:t>
      </w:r>
      <w:r w:rsidRPr="00A37437">
        <w:t>Metals &amp; Metallic Goods</w:t>
      </w:r>
      <w:r>
        <w:t>, Automobile, petroleum products.</w:t>
      </w:r>
    </w:p>
  </w:footnote>
  <w:footnote w:id="2">
    <w:p w14:paraId="423AFBDD" w14:textId="32C9227F" w:rsidR="008C53F0" w:rsidRPr="003D6674" w:rsidRDefault="008C53F0" w:rsidP="001835FE">
      <w:pPr>
        <w:pStyle w:val="FootnoteText"/>
        <w:rPr>
          <w:rFonts w:asciiTheme="majorBidi" w:hAnsiTheme="majorBidi" w:cstheme="majorBidi"/>
        </w:rPr>
      </w:pPr>
      <w:r w:rsidRPr="000E7805">
        <w:rPr>
          <w:rStyle w:val="FootnoteReference"/>
          <w:rFonts w:asciiTheme="majorBidi" w:hAnsiTheme="majorBidi" w:cstheme="majorBidi"/>
        </w:rPr>
        <w:footnoteRef/>
      </w:r>
      <w:r w:rsidRPr="000E7805">
        <w:rPr>
          <w:rFonts w:asciiTheme="majorBidi" w:hAnsiTheme="majorBidi" w:cstheme="majorBidi"/>
        </w:rPr>
        <w:t xml:space="preserve"> Modified opinions are the types of audit opinions that issue to entity’s financial statements when auditors found that those statements are not prepared and present fairly </w:t>
      </w:r>
      <w:proofErr w:type="spellStart"/>
      <w:r w:rsidRPr="000E7805">
        <w:rPr>
          <w:rFonts w:asciiTheme="majorBidi" w:hAnsiTheme="majorBidi" w:cstheme="majorBidi"/>
        </w:rPr>
        <w:t>inall</w:t>
      </w:r>
      <w:proofErr w:type="spellEnd"/>
      <w:r w:rsidRPr="000E7805">
        <w:rPr>
          <w:rFonts w:asciiTheme="majorBidi" w:hAnsiTheme="majorBidi" w:cstheme="majorBidi"/>
        </w:rPr>
        <w:t xml:space="preserve"> material respect in accordance with the accounting framework that they are using (</w:t>
      </w:r>
      <w:hyperlink w:anchor="w31" w:history="1">
        <w:r w:rsidRPr="00464F85">
          <w:rPr>
            <w:rStyle w:val="Hyperlink"/>
            <w:rFonts w:asciiTheme="majorBidi" w:hAnsiTheme="majorBidi" w:cstheme="majorBidi"/>
          </w:rPr>
          <w:t>Yang et al., 2001</w:t>
        </w:r>
      </w:hyperlink>
      <w:r w:rsidRPr="000E7805">
        <w:rPr>
          <w:rFonts w:asciiTheme="majorBidi" w:hAnsiTheme="majorBidi" w:cstheme="majorBidi"/>
        </w:rPr>
        <w:t xml:space="preserve">; </w:t>
      </w:r>
      <w:hyperlink w:anchor="w32" w:history="1">
        <w:proofErr w:type="spellStart"/>
        <w:r w:rsidRPr="00464F85">
          <w:rPr>
            <w:rStyle w:val="Hyperlink"/>
            <w:rFonts w:asciiTheme="majorBidi" w:hAnsiTheme="majorBidi" w:cstheme="majorBidi"/>
          </w:rPr>
          <w:t>Vichitsarawong</w:t>
        </w:r>
        <w:proofErr w:type="spellEnd"/>
        <w:r w:rsidRPr="00464F85">
          <w:rPr>
            <w:rStyle w:val="Hyperlink"/>
            <w:rFonts w:asciiTheme="majorBidi" w:hAnsiTheme="majorBidi" w:cstheme="majorBidi"/>
          </w:rPr>
          <w:t xml:space="preserve"> </w:t>
        </w:r>
        <w:r>
          <w:rPr>
            <w:rStyle w:val="Hyperlink"/>
            <w:rFonts w:asciiTheme="majorBidi" w:hAnsiTheme="majorBidi" w:cstheme="majorBidi"/>
          </w:rPr>
          <w:t>&amp;</w:t>
        </w:r>
        <w:r w:rsidRPr="00464F85">
          <w:rPr>
            <w:rStyle w:val="Hyperlink"/>
            <w:rFonts w:asciiTheme="majorBidi" w:hAnsiTheme="majorBidi" w:cstheme="majorBidi"/>
          </w:rPr>
          <w:t xml:space="preserve"> </w:t>
        </w:r>
        <w:proofErr w:type="spellStart"/>
        <w:r w:rsidRPr="00464F85">
          <w:rPr>
            <w:rStyle w:val="Hyperlink"/>
            <w:rFonts w:asciiTheme="majorBidi" w:hAnsiTheme="majorBidi" w:cstheme="majorBidi"/>
          </w:rPr>
          <w:t>Pornupatham</w:t>
        </w:r>
        <w:proofErr w:type="spellEnd"/>
        <w:r w:rsidRPr="00464F85">
          <w:rPr>
            <w:rStyle w:val="Hyperlink"/>
            <w:rFonts w:asciiTheme="majorBidi" w:hAnsiTheme="majorBidi" w:cstheme="majorBidi"/>
          </w:rPr>
          <w:t>, 2015</w:t>
        </w:r>
      </w:hyperlink>
      <w:r w:rsidRPr="000E7805">
        <w:rPr>
          <w:rFonts w:asciiTheme="majorBidi" w:hAnsiTheme="majorBidi" w:cstheme="majorBidi"/>
        </w:rPr>
        <w:t>).</w:t>
      </w:r>
    </w:p>
  </w:footnote>
  <w:footnote w:id="3">
    <w:p w14:paraId="03243C1D" w14:textId="34373F63" w:rsidR="008C53F0" w:rsidRDefault="008C53F0">
      <w:pPr>
        <w:pStyle w:val="FootnoteText"/>
      </w:pPr>
      <w:r>
        <w:rPr>
          <w:rStyle w:val="FootnoteReference"/>
        </w:rPr>
        <w:footnoteRef/>
      </w:r>
      <w:r>
        <w:t xml:space="preserve"> </w:t>
      </w:r>
      <w:r w:rsidRPr="00A130CF">
        <w:t>Based on the Stakeholder theory</w:t>
      </w:r>
    </w:p>
  </w:footnote>
  <w:footnote w:id="4">
    <w:p w14:paraId="028A37A4" w14:textId="79A30B46" w:rsidR="008C53F0" w:rsidRDefault="008C53F0" w:rsidP="0086386A">
      <w:pPr>
        <w:pStyle w:val="FootnoteText"/>
      </w:pPr>
      <w:r>
        <w:rPr>
          <w:rStyle w:val="FootnoteReference"/>
        </w:rPr>
        <w:footnoteRef/>
      </w:r>
      <w:r>
        <w:t xml:space="preserve"> Petrochemicals, Basic metals, </w:t>
      </w:r>
      <w:r w:rsidRPr="0086386A">
        <w:t>Automotive</w:t>
      </w:r>
      <w:r>
        <w:t>, petroleum products.</w:t>
      </w:r>
    </w:p>
  </w:footnote>
  <w:footnote w:id="5">
    <w:p w14:paraId="2CBD22B6" w14:textId="7365AB3C" w:rsidR="008C53F0" w:rsidRDefault="008C53F0">
      <w:pPr>
        <w:pStyle w:val="FootnoteText"/>
      </w:pPr>
      <w:r>
        <w:rPr>
          <w:rStyle w:val="FootnoteReference"/>
        </w:rPr>
        <w:footnoteRef/>
      </w:r>
      <w:r>
        <w:t xml:space="preserve"> </w:t>
      </w:r>
      <w:r w:rsidRPr="0097645A">
        <w:t>An assessor is a local government official who determines tax payable amount</w:t>
      </w:r>
    </w:p>
  </w:footnote>
  <w:footnote w:id="6">
    <w:p w14:paraId="59EECBDF" w14:textId="48C2EEAA" w:rsidR="008C53F0" w:rsidRDefault="008C53F0">
      <w:pPr>
        <w:pStyle w:val="FootnoteText"/>
      </w:pPr>
      <w:r>
        <w:rPr>
          <w:rStyle w:val="FootnoteReference"/>
        </w:rPr>
        <w:footnoteRef/>
      </w:r>
      <w:r>
        <w:t xml:space="preserve"> </w:t>
      </w:r>
      <w:r w:rsidRPr="00B27B3D">
        <w:t xml:space="preserve">CODAL= Comprehensive </w:t>
      </w:r>
      <w:proofErr w:type="spellStart"/>
      <w:r w:rsidRPr="00B27B3D">
        <w:t>DataBase</w:t>
      </w:r>
      <w:proofErr w:type="spellEnd"/>
      <w:r w:rsidRPr="00B27B3D">
        <w:t xml:space="preserve"> </w:t>
      </w:r>
      <w:proofErr w:type="gramStart"/>
      <w:r w:rsidRPr="00B27B3D">
        <w:t>Of</w:t>
      </w:r>
      <w:proofErr w:type="gramEnd"/>
      <w:r w:rsidRPr="00B27B3D">
        <w:t xml:space="preserve"> All Listed Companies. </w:t>
      </w:r>
      <w:proofErr w:type="spellStart"/>
      <w:r w:rsidRPr="00B27B3D">
        <w:t>Codal</w:t>
      </w:r>
      <w:proofErr w:type="spellEnd"/>
      <w:r w:rsidRPr="00B27B3D">
        <w:t xml:space="preserve"> is </w:t>
      </w:r>
      <w:r>
        <w:t xml:space="preserve">a </w:t>
      </w:r>
      <w:r w:rsidRPr="00B27B3D">
        <w:t>database of Iranian companies.</w:t>
      </w:r>
    </w:p>
  </w:footnote>
  <w:footnote w:id="7">
    <w:p w14:paraId="31F021D1" w14:textId="47AFAB9E" w:rsidR="008C53F0" w:rsidRDefault="008C53F0">
      <w:pPr>
        <w:pStyle w:val="FootnoteText"/>
      </w:pPr>
      <w:r>
        <w:rPr>
          <w:rStyle w:val="FootnoteReference"/>
        </w:rPr>
        <w:footnoteRef/>
      </w:r>
      <w:r>
        <w:t xml:space="preserve"> </w:t>
      </w:r>
      <w:r w:rsidRPr="007F36B1">
        <w:t>financial institutions</w:t>
      </w:r>
      <w:r>
        <w:t xml:space="preserve"> companies were excluded from the sample.</w:t>
      </w:r>
    </w:p>
  </w:footnote>
  <w:footnote w:id="8">
    <w:p w14:paraId="7383D261" w14:textId="46979392" w:rsidR="008C53F0" w:rsidRDefault="008C53F0">
      <w:pPr>
        <w:pStyle w:val="FootnoteText"/>
      </w:pPr>
      <w:r>
        <w:rPr>
          <w:rStyle w:val="FootnoteReference"/>
        </w:rPr>
        <w:footnoteRef/>
      </w:r>
      <w:r>
        <w:t xml:space="preserve"> </w:t>
      </w:r>
      <w:r w:rsidRPr="00721471">
        <w:t xml:space="preserve">In </w:t>
      </w:r>
      <w:r>
        <w:t>I</w:t>
      </w:r>
      <w:r w:rsidRPr="00721471">
        <w:t>ran, few companies have fiscal year</w:t>
      </w:r>
      <w:r>
        <w:t xml:space="preserve"> reporting;</w:t>
      </w:r>
      <w:r w:rsidRPr="00721471">
        <w:t xml:space="preserve"> </w:t>
      </w:r>
      <w:r>
        <w:t>they are</w:t>
      </w:r>
      <w:r w:rsidRPr="00721471">
        <w:t xml:space="preserve"> excluded from </w:t>
      </w:r>
      <w:r>
        <w:t>our</w:t>
      </w:r>
      <w:r w:rsidRPr="00721471">
        <w:t xml:space="preserve"> sample.</w:t>
      </w:r>
    </w:p>
  </w:footnote>
  <w:footnote w:id="9">
    <w:p w14:paraId="56F11946" w14:textId="799EB5F9" w:rsidR="008C53F0" w:rsidRDefault="008C53F0" w:rsidP="003A231B">
      <w:pPr>
        <w:pStyle w:val="FootnoteText"/>
      </w:pPr>
      <w:r>
        <w:rPr>
          <w:rStyle w:val="FootnoteReference"/>
        </w:rPr>
        <w:footnoteRef/>
      </w:r>
      <w:r>
        <w:t xml:space="preserve"> </w:t>
      </w:r>
      <w:r w:rsidRPr="00B75556">
        <w:t xml:space="preserve">The details about variables and measures are presented in </w:t>
      </w:r>
      <w:r>
        <w:t>A</w:t>
      </w:r>
      <w:r w:rsidRPr="00B75556">
        <w:t>ppendix</w:t>
      </w:r>
      <w:r>
        <w:t xml:space="preserve"> 2</w:t>
      </w:r>
      <w:r w:rsidRPr="00B75556">
        <w:t>.</w:t>
      </w:r>
    </w:p>
  </w:footnote>
  <w:footnote w:id="10">
    <w:p w14:paraId="4F7B0800" w14:textId="5779D5CE" w:rsidR="008C53F0" w:rsidRDefault="008C53F0" w:rsidP="00243487">
      <w:pPr>
        <w:pStyle w:val="FootnoteText"/>
      </w:pPr>
      <w:r>
        <w:rPr>
          <w:rStyle w:val="FootnoteReference"/>
        </w:rPr>
        <w:footnoteRef/>
      </w:r>
      <w:r>
        <w:t xml:space="preserve"> CODAL is stock </w:t>
      </w:r>
      <w:proofErr w:type="gramStart"/>
      <w:r>
        <w:t>companies</w:t>
      </w:r>
      <w:proofErr w:type="gramEnd"/>
      <w:r>
        <w:t xml:space="preserve"> database: https://codal.ir/</w:t>
      </w:r>
    </w:p>
  </w:footnote>
  <w:footnote w:id="11">
    <w:p w14:paraId="7817C55C" w14:textId="7BDA166F" w:rsidR="008C53F0" w:rsidRDefault="008C53F0">
      <w:pPr>
        <w:pStyle w:val="FootnoteText"/>
      </w:pPr>
      <w:r>
        <w:rPr>
          <w:rStyle w:val="FootnoteReference"/>
        </w:rPr>
        <w:footnoteRef/>
      </w:r>
      <w:r>
        <w:t xml:space="preserve"> We use both </w:t>
      </w:r>
      <w:r w:rsidRPr="00500C0A">
        <w:t xml:space="preserve">SPSS26 and EVIEWS9 </w:t>
      </w:r>
      <w:proofErr w:type="spellStart"/>
      <w:r w:rsidRPr="00500C0A">
        <w:t>softwares</w:t>
      </w:r>
      <w:proofErr w:type="spellEnd"/>
      <w:r>
        <w:t xml:space="preserve"> for </w:t>
      </w:r>
      <w:r w:rsidRPr="00500C0A">
        <w:t xml:space="preserve">data </w:t>
      </w:r>
      <w:r>
        <w:t>analysis</w:t>
      </w:r>
      <w:r w:rsidRPr="00500C0A">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02"/>
    <w:multiLevelType w:val="hybridMultilevel"/>
    <w:tmpl w:val="C1A6791A"/>
    <w:lvl w:ilvl="0" w:tplc="2746F738">
      <w:start w:val="3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94D3A"/>
    <w:multiLevelType w:val="hybridMultilevel"/>
    <w:tmpl w:val="A5424612"/>
    <w:lvl w:ilvl="0" w:tplc="E5D4711C">
      <w:numFmt w:val="bullet"/>
      <w:lvlText w:val="-"/>
      <w:lvlJc w:val="left"/>
      <w:pPr>
        <w:ind w:left="720" w:hanging="360"/>
      </w:pPr>
      <w:rPr>
        <w:rFonts w:ascii="Arial" w:eastAsia="Times New Roman" w:hAnsi="Arial" w:cs="Arial" w:hint="default"/>
        <w:color w:val="727272"/>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23"/>
    <w:rsid w:val="00001AB5"/>
    <w:rsid w:val="0000208D"/>
    <w:rsid w:val="0000269F"/>
    <w:rsid w:val="00006341"/>
    <w:rsid w:val="00007136"/>
    <w:rsid w:val="00007F4A"/>
    <w:rsid w:val="00011D04"/>
    <w:rsid w:val="00011EA6"/>
    <w:rsid w:val="00015348"/>
    <w:rsid w:val="000155C2"/>
    <w:rsid w:val="0001587C"/>
    <w:rsid w:val="000160B3"/>
    <w:rsid w:val="000165A0"/>
    <w:rsid w:val="00021357"/>
    <w:rsid w:val="000214CC"/>
    <w:rsid w:val="000228F5"/>
    <w:rsid w:val="000268A1"/>
    <w:rsid w:val="00027AFC"/>
    <w:rsid w:val="00032991"/>
    <w:rsid w:val="00037190"/>
    <w:rsid w:val="00044A60"/>
    <w:rsid w:val="000459B2"/>
    <w:rsid w:val="00047AA5"/>
    <w:rsid w:val="00054406"/>
    <w:rsid w:val="00056234"/>
    <w:rsid w:val="0005651E"/>
    <w:rsid w:val="0005678E"/>
    <w:rsid w:val="000638B6"/>
    <w:rsid w:val="00064BE3"/>
    <w:rsid w:val="00067366"/>
    <w:rsid w:val="00073FDD"/>
    <w:rsid w:val="0007474F"/>
    <w:rsid w:val="0007602F"/>
    <w:rsid w:val="00081C30"/>
    <w:rsid w:val="000856A4"/>
    <w:rsid w:val="00086B25"/>
    <w:rsid w:val="00090695"/>
    <w:rsid w:val="00090C6E"/>
    <w:rsid w:val="00092581"/>
    <w:rsid w:val="0009269F"/>
    <w:rsid w:val="000940AE"/>
    <w:rsid w:val="00095AAE"/>
    <w:rsid w:val="00096021"/>
    <w:rsid w:val="0009784C"/>
    <w:rsid w:val="000A02A9"/>
    <w:rsid w:val="000A53BF"/>
    <w:rsid w:val="000B25A7"/>
    <w:rsid w:val="000B3763"/>
    <w:rsid w:val="000B43EC"/>
    <w:rsid w:val="000B6DBC"/>
    <w:rsid w:val="000B7991"/>
    <w:rsid w:val="000C19C8"/>
    <w:rsid w:val="000C2BB3"/>
    <w:rsid w:val="000C7F50"/>
    <w:rsid w:val="000D181C"/>
    <w:rsid w:val="000D19C7"/>
    <w:rsid w:val="000D34C1"/>
    <w:rsid w:val="000D530A"/>
    <w:rsid w:val="000D540B"/>
    <w:rsid w:val="000D5926"/>
    <w:rsid w:val="000D60FC"/>
    <w:rsid w:val="000E24C9"/>
    <w:rsid w:val="000E7805"/>
    <w:rsid w:val="000E7ED3"/>
    <w:rsid w:val="000F09DF"/>
    <w:rsid w:val="000F14D6"/>
    <w:rsid w:val="000F225D"/>
    <w:rsid w:val="000F39E4"/>
    <w:rsid w:val="000F3C6A"/>
    <w:rsid w:val="000F4490"/>
    <w:rsid w:val="000F4497"/>
    <w:rsid w:val="000F6834"/>
    <w:rsid w:val="000F6A4F"/>
    <w:rsid w:val="00101AE4"/>
    <w:rsid w:val="00111168"/>
    <w:rsid w:val="001124C8"/>
    <w:rsid w:val="00112C6B"/>
    <w:rsid w:val="001141DC"/>
    <w:rsid w:val="00122F91"/>
    <w:rsid w:val="00124682"/>
    <w:rsid w:val="00127C28"/>
    <w:rsid w:val="00133304"/>
    <w:rsid w:val="00133860"/>
    <w:rsid w:val="00133F3A"/>
    <w:rsid w:val="001349E1"/>
    <w:rsid w:val="001374C9"/>
    <w:rsid w:val="00137870"/>
    <w:rsid w:val="001426D3"/>
    <w:rsid w:val="0014661A"/>
    <w:rsid w:val="00153828"/>
    <w:rsid w:val="00153AA8"/>
    <w:rsid w:val="001543C1"/>
    <w:rsid w:val="00161BCD"/>
    <w:rsid w:val="00162DD0"/>
    <w:rsid w:val="0016489A"/>
    <w:rsid w:val="00164E6B"/>
    <w:rsid w:val="0016661D"/>
    <w:rsid w:val="001669AD"/>
    <w:rsid w:val="001670A0"/>
    <w:rsid w:val="0016792A"/>
    <w:rsid w:val="00167BDE"/>
    <w:rsid w:val="0017446C"/>
    <w:rsid w:val="001777F9"/>
    <w:rsid w:val="00177FCB"/>
    <w:rsid w:val="001825D0"/>
    <w:rsid w:val="001835FE"/>
    <w:rsid w:val="00183C23"/>
    <w:rsid w:val="00187C47"/>
    <w:rsid w:val="001902FD"/>
    <w:rsid w:val="001A053C"/>
    <w:rsid w:val="001A3202"/>
    <w:rsid w:val="001B2B31"/>
    <w:rsid w:val="001B3CB4"/>
    <w:rsid w:val="001B59BC"/>
    <w:rsid w:val="001B670B"/>
    <w:rsid w:val="001B7BA6"/>
    <w:rsid w:val="001C0E02"/>
    <w:rsid w:val="001C133B"/>
    <w:rsid w:val="001C2F45"/>
    <w:rsid w:val="001C4279"/>
    <w:rsid w:val="001C5062"/>
    <w:rsid w:val="001C5531"/>
    <w:rsid w:val="001C6591"/>
    <w:rsid w:val="001C685F"/>
    <w:rsid w:val="001D2627"/>
    <w:rsid w:val="001D4652"/>
    <w:rsid w:val="001D472A"/>
    <w:rsid w:val="001D4AD4"/>
    <w:rsid w:val="001D5093"/>
    <w:rsid w:val="001D5A55"/>
    <w:rsid w:val="001D6A46"/>
    <w:rsid w:val="001F09B2"/>
    <w:rsid w:val="001F692D"/>
    <w:rsid w:val="00203A34"/>
    <w:rsid w:val="002042E8"/>
    <w:rsid w:val="002050F2"/>
    <w:rsid w:val="0020673B"/>
    <w:rsid w:val="00206D4A"/>
    <w:rsid w:val="0021054C"/>
    <w:rsid w:val="00210961"/>
    <w:rsid w:val="00210AFF"/>
    <w:rsid w:val="00214292"/>
    <w:rsid w:val="00217584"/>
    <w:rsid w:val="002212D8"/>
    <w:rsid w:val="00221C16"/>
    <w:rsid w:val="00223E9D"/>
    <w:rsid w:val="002271F9"/>
    <w:rsid w:val="00227BDF"/>
    <w:rsid w:val="00230F6F"/>
    <w:rsid w:val="00232075"/>
    <w:rsid w:val="00237396"/>
    <w:rsid w:val="002424B1"/>
    <w:rsid w:val="00243487"/>
    <w:rsid w:val="002440A9"/>
    <w:rsid w:val="00246E1F"/>
    <w:rsid w:val="0025478E"/>
    <w:rsid w:val="00256BA1"/>
    <w:rsid w:val="00257C22"/>
    <w:rsid w:val="00257CF3"/>
    <w:rsid w:val="002610F2"/>
    <w:rsid w:val="00262D88"/>
    <w:rsid w:val="002663FA"/>
    <w:rsid w:val="00270B18"/>
    <w:rsid w:val="00277A6A"/>
    <w:rsid w:val="00280609"/>
    <w:rsid w:val="002827D7"/>
    <w:rsid w:val="00282A58"/>
    <w:rsid w:val="002839E6"/>
    <w:rsid w:val="0028454A"/>
    <w:rsid w:val="0028592D"/>
    <w:rsid w:val="00287DD2"/>
    <w:rsid w:val="00292868"/>
    <w:rsid w:val="0029333B"/>
    <w:rsid w:val="00293F27"/>
    <w:rsid w:val="002954F1"/>
    <w:rsid w:val="00297F65"/>
    <w:rsid w:val="002A0573"/>
    <w:rsid w:val="002A1A7B"/>
    <w:rsid w:val="002A41CB"/>
    <w:rsid w:val="002A60EA"/>
    <w:rsid w:val="002A64B9"/>
    <w:rsid w:val="002A7176"/>
    <w:rsid w:val="002A7E57"/>
    <w:rsid w:val="002B00A0"/>
    <w:rsid w:val="002B16CF"/>
    <w:rsid w:val="002B5576"/>
    <w:rsid w:val="002C00C4"/>
    <w:rsid w:val="002C109F"/>
    <w:rsid w:val="002C59CC"/>
    <w:rsid w:val="002C5EED"/>
    <w:rsid w:val="002D0B68"/>
    <w:rsid w:val="002D3A5E"/>
    <w:rsid w:val="002D4984"/>
    <w:rsid w:val="002D50D5"/>
    <w:rsid w:val="002D569F"/>
    <w:rsid w:val="002E02E3"/>
    <w:rsid w:val="002F1E6B"/>
    <w:rsid w:val="002F2BBE"/>
    <w:rsid w:val="002F3571"/>
    <w:rsid w:val="002F498B"/>
    <w:rsid w:val="002F4DA1"/>
    <w:rsid w:val="002F72C2"/>
    <w:rsid w:val="0030035C"/>
    <w:rsid w:val="0030380B"/>
    <w:rsid w:val="00304787"/>
    <w:rsid w:val="00305BC3"/>
    <w:rsid w:val="00307709"/>
    <w:rsid w:val="00311DDD"/>
    <w:rsid w:val="00317C5D"/>
    <w:rsid w:val="00326EAE"/>
    <w:rsid w:val="00334512"/>
    <w:rsid w:val="0033559D"/>
    <w:rsid w:val="00336D83"/>
    <w:rsid w:val="00337098"/>
    <w:rsid w:val="00341756"/>
    <w:rsid w:val="00341B4F"/>
    <w:rsid w:val="00342073"/>
    <w:rsid w:val="00342AB7"/>
    <w:rsid w:val="0034411D"/>
    <w:rsid w:val="003452BE"/>
    <w:rsid w:val="00345368"/>
    <w:rsid w:val="003506E5"/>
    <w:rsid w:val="00350ADE"/>
    <w:rsid w:val="00350BD5"/>
    <w:rsid w:val="00351889"/>
    <w:rsid w:val="00352058"/>
    <w:rsid w:val="00353DDA"/>
    <w:rsid w:val="00354372"/>
    <w:rsid w:val="00354375"/>
    <w:rsid w:val="00354432"/>
    <w:rsid w:val="00355527"/>
    <w:rsid w:val="003559EC"/>
    <w:rsid w:val="0035695D"/>
    <w:rsid w:val="00357994"/>
    <w:rsid w:val="00360729"/>
    <w:rsid w:val="003628DC"/>
    <w:rsid w:val="00365E96"/>
    <w:rsid w:val="00366306"/>
    <w:rsid w:val="003675C2"/>
    <w:rsid w:val="00373F61"/>
    <w:rsid w:val="00381A4A"/>
    <w:rsid w:val="00381D05"/>
    <w:rsid w:val="0038318D"/>
    <w:rsid w:val="003840DE"/>
    <w:rsid w:val="003842B9"/>
    <w:rsid w:val="0038474B"/>
    <w:rsid w:val="003869D2"/>
    <w:rsid w:val="0039008D"/>
    <w:rsid w:val="003905F1"/>
    <w:rsid w:val="00390D4C"/>
    <w:rsid w:val="0039179E"/>
    <w:rsid w:val="00392D40"/>
    <w:rsid w:val="00397830"/>
    <w:rsid w:val="003A231B"/>
    <w:rsid w:val="003A23A9"/>
    <w:rsid w:val="003A429D"/>
    <w:rsid w:val="003A5C9D"/>
    <w:rsid w:val="003A6A4A"/>
    <w:rsid w:val="003A6F3D"/>
    <w:rsid w:val="003B16BA"/>
    <w:rsid w:val="003B3EA1"/>
    <w:rsid w:val="003B475F"/>
    <w:rsid w:val="003B5426"/>
    <w:rsid w:val="003C56F4"/>
    <w:rsid w:val="003C764D"/>
    <w:rsid w:val="003D6674"/>
    <w:rsid w:val="003E10B4"/>
    <w:rsid w:val="003E3A28"/>
    <w:rsid w:val="003E47A0"/>
    <w:rsid w:val="003E6E77"/>
    <w:rsid w:val="003F0C2C"/>
    <w:rsid w:val="003F1D4B"/>
    <w:rsid w:val="003F302B"/>
    <w:rsid w:val="003F716C"/>
    <w:rsid w:val="003F78AA"/>
    <w:rsid w:val="00402FC2"/>
    <w:rsid w:val="00404651"/>
    <w:rsid w:val="004067D6"/>
    <w:rsid w:val="00415A26"/>
    <w:rsid w:val="004162D2"/>
    <w:rsid w:val="004164F9"/>
    <w:rsid w:val="00421B2A"/>
    <w:rsid w:val="00422AF6"/>
    <w:rsid w:val="004343E1"/>
    <w:rsid w:val="00434961"/>
    <w:rsid w:val="0044049F"/>
    <w:rsid w:val="00445139"/>
    <w:rsid w:val="0045225B"/>
    <w:rsid w:val="0045350F"/>
    <w:rsid w:val="00456AD2"/>
    <w:rsid w:val="00457774"/>
    <w:rsid w:val="004578DA"/>
    <w:rsid w:val="00460CAE"/>
    <w:rsid w:val="00462650"/>
    <w:rsid w:val="004628E0"/>
    <w:rsid w:val="00464357"/>
    <w:rsid w:val="00464F85"/>
    <w:rsid w:val="00467E18"/>
    <w:rsid w:val="004709FD"/>
    <w:rsid w:val="0047192D"/>
    <w:rsid w:val="00471F0B"/>
    <w:rsid w:val="00477298"/>
    <w:rsid w:val="004805A8"/>
    <w:rsid w:val="004827F7"/>
    <w:rsid w:val="00483822"/>
    <w:rsid w:val="00483CBB"/>
    <w:rsid w:val="004849B7"/>
    <w:rsid w:val="0048669E"/>
    <w:rsid w:val="004875EF"/>
    <w:rsid w:val="004927E6"/>
    <w:rsid w:val="00492E1E"/>
    <w:rsid w:val="004A7F84"/>
    <w:rsid w:val="004B4C5D"/>
    <w:rsid w:val="004B63F9"/>
    <w:rsid w:val="004B7160"/>
    <w:rsid w:val="004B745E"/>
    <w:rsid w:val="004C0A7B"/>
    <w:rsid w:val="004C5BD4"/>
    <w:rsid w:val="004C7792"/>
    <w:rsid w:val="004D648F"/>
    <w:rsid w:val="004D6CF3"/>
    <w:rsid w:val="004E0E47"/>
    <w:rsid w:val="004E396D"/>
    <w:rsid w:val="004E40F7"/>
    <w:rsid w:val="004E529D"/>
    <w:rsid w:val="004F24BA"/>
    <w:rsid w:val="004F3B2F"/>
    <w:rsid w:val="004F55D2"/>
    <w:rsid w:val="00500018"/>
    <w:rsid w:val="00500C0A"/>
    <w:rsid w:val="0050305B"/>
    <w:rsid w:val="00507D1C"/>
    <w:rsid w:val="00510E19"/>
    <w:rsid w:val="00511E2A"/>
    <w:rsid w:val="00514427"/>
    <w:rsid w:val="00514F14"/>
    <w:rsid w:val="00520B2C"/>
    <w:rsid w:val="00521F8A"/>
    <w:rsid w:val="005220B2"/>
    <w:rsid w:val="00522B30"/>
    <w:rsid w:val="00523EE6"/>
    <w:rsid w:val="00524215"/>
    <w:rsid w:val="00525C4A"/>
    <w:rsid w:val="005264DB"/>
    <w:rsid w:val="00527182"/>
    <w:rsid w:val="00530F8E"/>
    <w:rsid w:val="00532AB1"/>
    <w:rsid w:val="00535384"/>
    <w:rsid w:val="00536417"/>
    <w:rsid w:val="00537319"/>
    <w:rsid w:val="00543429"/>
    <w:rsid w:val="0054426F"/>
    <w:rsid w:val="00545545"/>
    <w:rsid w:val="0054654B"/>
    <w:rsid w:val="00557C33"/>
    <w:rsid w:val="005614A5"/>
    <w:rsid w:val="00561647"/>
    <w:rsid w:val="005644D5"/>
    <w:rsid w:val="00565115"/>
    <w:rsid w:val="00565152"/>
    <w:rsid w:val="00565F64"/>
    <w:rsid w:val="00567ACD"/>
    <w:rsid w:val="0057062F"/>
    <w:rsid w:val="00572599"/>
    <w:rsid w:val="0057439F"/>
    <w:rsid w:val="00574B4E"/>
    <w:rsid w:val="00575116"/>
    <w:rsid w:val="00575A80"/>
    <w:rsid w:val="00577553"/>
    <w:rsid w:val="005821C0"/>
    <w:rsid w:val="00584323"/>
    <w:rsid w:val="0058552F"/>
    <w:rsid w:val="005875AB"/>
    <w:rsid w:val="00587D02"/>
    <w:rsid w:val="0059136F"/>
    <w:rsid w:val="0059170A"/>
    <w:rsid w:val="0059317C"/>
    <w:rsid w:val="005944CC"/>
    <w:rsid w:val="00594F50"/>
    <w:rsid w:val="00597779"/>
    <w:rsid w:val="00597782"/>
    <w:rsid w:val="005A2A82"/>
    <w:rsid w:val="005A470D"/>
    <w:rsid w:val="005A658E"/>
    <w:rsid w:val="005B07CD"/>
    <w:rsid w:val="005B1262"/>
    <w:rsid w:val="005B21A5"/>
    <w:rsid w:val="005B3274"/>
    <w:rsid w:val="005B5797"/>
    <w:rsid w:val="005C04C6"/>
    <w:rsid w:val="005C1A17"/>
    <w:rsid w:val="005C29C2"/>
    <w:rsid w:val="005C4624"/>
    <w:rsid w:val="005C4A41"/>
    <w:rsid w:val="005C4B00"/>
    <w:rsid w:val="005C5736"/>
    <w:rsid w:val="005C57B6"/>
    <w:rsid w:val="005C79A0"/>
    <w:rsid w:val="005D17E9"/>
    <w:rsid w:val="005D20FD"/>
    <w:rsid w:val="005D5391"/>
    <w:rsid w:val="005D5D38"/>
    <w:rsid w:val="005D6561"/>
    <w:rsid w:val="005D66A7"/>
    <w:rsid w:val="005E1AD1"/>
    <w:rsid w:val="005E6974"/>
    <w:rsid w:val="005E75CB"/>
    <w:rsid w:val="005F23F0"/>
    <w:rsid w:val="005F4A0E"/>
    <w:rsid w:val="006034EF"/>
    <w:rsid w:val="00603D50"/>
    <w:rsid w:val="00604B7A"/>
    <w:rsid w:val="006076EC"/>
    <w:rsid w:val="006079AB"/>
    <w:rsid w:val="00607A3B"/>
    <w:rsid w:val="00612C54"/>
    <w:rsid w:val="00612EC8"/>
    <w:rsid w:val="00614254"/>
    <w:rsid w:val="0061602E"/>
    <w:rsid w:val="006202FB"/>
    <w:rsid w:val="0062126E"/>
    <w:rsid w:val="0062228C"/>
    <w:rsid w:val="006247F4"/>
    <w:rsid w:val="00624DD2"/>
    <w:rsid w:val="006261A1"/>
    <w:rsid w:val="00630513"/>
    <w:rsid w:val="00630CC0"/>
    <w:rsid w:val="00632759"/>
    <w:rsid w:val="00632C8A"/>
    <w:rsid w:val="00635B83"/>
    <w:rsid w:val="00636F7E"/>
    <w:rsid w:val="00643743"/>
    <w:rsid w:val="00650610"/>
    <w:rsid w:val="00650F00"/>
    <w:rsid w:val="006521AD"/>
    <w:rsid w:val="00652CFE"/>
    <w:rsid w:val="006539BE"/>
    <w:rsid w:val="00655C59"/>
    <w:rsid w:val="00656CFF"/>
    <w:rsid w:val="00660472"/>
    <w:rsid w:val="00662B40"/>
    <w:rsid w:val="00665298"/>
    <w:rsid w:val="006707E4"/>
    <w:rsid w:val="0067091A"/>
    <w:rsid w:val="00672123"/>
    <w:rsid w:val="00674196"/>
    <w:rsid w:val="00676ECD"/>
    <w:rsid w:val="00682D01"/>
    <w:rsid w:val="006851CA"/>
    <w:rsid w:val="00685340"/>
    <w:rsid w:val="00687DA2"/>
    <w:rsid w:val="00687E50"/>
    <w:rsid w:val="00690B05"/>
    <w:rsid w:val="0069253A"/>
    <w:rsid w:val="00692D8B"/>
    <w:rsid w:val="00693A9D"/>
    <w:rsid w:val="00695948"/>
    <w:rsid w:val="00696FE1"/>
    <w:rsid w:val="0069711F"/>
    <w:rsid w:val="006A037D"/>
    <w:rsid w:val="006A2C2D"/>
    <w:rsid w:val="006A47AD"/>
    <w:rsid w:val="006A4A9D"/>
    <w:rsid w:val="006A5AE4"/>
    <w:rsid w:val="006B03DA"/>
    <w:rsid w:val="006B6B8E"/>
    <w:rsid w:val="006C0510"/>
    <w:rsid w:val="006C0CD1"/>
    <w:rsid w:val="006C32DB"/>
    <w:rsid w:val="006C3A5E"/>
    <w:rsid w:val="006C4EC9"/>
    <w:rsid w:val="006D1CE8"/>
    <w:rsid w:val="006D2DEB"/>
    <w:rsid w:val="006D3235"/>
    <w:rsid w:val="006D353A"/>
    <w:rsid w:val="006D4F9E"/>
    <w:rsid w:val="006D5816"/>
    <w:rsid w:val="006D590D"/>
    <w:rsid w:val="006D70FD"/>
    <w:rsid w:val="006D7FAF"/>
    <w:rsid w:val="006E1B63"/>
    <w:rsid w:val="006E4B3F"/>
    <w:rsid w:val="006E5ECA"/>
    <w:rsid w:val="006E6201"/>
    <w:rsid w:val="006F0125"/>
    <w:rsid w:val="006F0927"/>
    <w:rsid w:val="006F1118"/>
    <w:rsid w:val="006F14F5"/>
    <w:rsid w:val="006F1C64"/>
    <w:rsid w:val="006F43C1"/>
    <w:rsid w:val="006F78EF"/>
    <w:rsid w:val="00700030"/>
    <w:rsid w:val="007021F1"/>
    <w:rsid w:val="007031F4"/>
    <w:rsid w:val="007043AE"/>
    <w:rsid w:val="007050C2"/>
    <w:rsid w:val="007059A6"/>
    <w:rsid w:val="00705C5A"/>
    <w:rsid w:val="007066D3"/>
    <w:rsid w:val="00707168"/>
    <w:rsid w:val="00710615"/>
    <w:rsid w:val="007118FF"/>
    <w:rsid w:val="0071645B"/>
    <w:rsid w:val="007169B7"/>
    <w:rsid w:val="00716EF3"/>
    <w:rsid w:val="007173BA"/>
    <w:rsid w:val="00717603"/>
    <w:rsid w:val="00717630"/>
    <w:rsid w:val="00720BEC"/>
    <w:rsid w:val="00720CF5"/>
    <w:rsid w:val="00721228"/>
    <w:rsid w:val="0072145B"/>
    <w:rsid w:val="00721471"/>
    <w:rsid w:val="007215EE"/>
    <w:rsid w:val="0072364F"/>
    <w:rsid w:val="007241AF"/>
    <w:rsid w:val="0072744D"/>
    <w:rsid w:val="007279CD"/>
    <w:rsid w:val="00727B36"/>
    <w:rsid w:val="007322AA"/>
    <w:rsid w:val="00732B9C"/>
    <w:rsid w:val="00733D7A"/>
    <w:rsid w:val="0073480E"/>
    <w:rsid w:val="00735E9F"/>
    <w:rsid w:val="007437E0"/>
    <w:rsid w:val="00745D40"/>
    <w:rsid w:val="00750B7B"/>
    <w:rsid w:val="00751544"/>
    <w:rsid w:val="007516AF"/>
    <w:rsid w:val="0075360F"/>
    <w:rsid w:val="00763EC2"/>
    <w:rsid w:val="00763FA1"/>
    <w:rsid w:val="00764282"/>
    <w:rsid w:val="00772B25"/>
    <w:rsid w:val="0077343E"/>
    <w:rsid w:val="00774194"/>
    <w:rsid w:val="00775B71"/>
    <w:rsid w:val="00776B13"/>
    <w:rsid w:val="007836D4"/>
    <w:rsid w:val="007857E8"/>
    <w:rsid w:val="00794406"/>
    <w:rsid w:val="00794988"/>
    <w:rsid w:val="00795810"/>
    <w:rsid w:val="007A0A3D"/>
    <w:rsid w:val="007A146E"/>
    <w:rsid w:val="007A1F11"/>
    <w:rsid w:val="007A2439"/>
    <w:rsid w:val="007A51F6"/>
    <w:rsid w:val="007A6248"/>
    <w:rsid w:val="007A750F"/>
    <w:rsid w:val="007B3744"/>
    <w:rsid w:val="007B7F8D"/>
    <w:rsid w:val="007C0E2E"/>
    <w:rsid w:val="007C10B4"/>
    <w:rsid w:val="007C32B5"/>
    <w:rsid w:val="007C4527"/>
    <w:rsid w:val="007D0339"/>
    <w:rsid w:val="007D21BB"/>
    <w:rsid w:val="007D2F43"/>
    <w:rsid w:val="007E0E5A"/>
    <w:rsid w:val="007E5A2E"/>
    <w:rsid w:val="007E6313"/>
    <w:rsid w:val="007E7968"/>
    <w:rsid w:val="007F2E34"/>
    <w:rsid w:val="007F36B1"/>
    <w:rsid w:val="007F3ABA"/>
    <w:rsid w:val="007F51D6"/>
    <w:rsid w:val="00800A7C"/>
    <w:rsid w:val="00802D6B"/>
    <w:rsid w:val="00802FB1"/>
    <w:rsid w:val="00803BF3"/>
    <w:rsid w:val="00804D07"/>
    <w:rsid w:val="00807E0B"/>
    <w:rsid w:val="00812972"/>
    <w:rsid w:val="0081648A"/>
    <w:rsid w:val="008227D3"/>
    <w:rsid w:val="008229D0"/>
    <w:rsid w:val="00822DB4"/>
    <w:rsid w:val="0082504F"/>
    <w:rsid w:val="00826B2A"/>
    <w:rsid w:val="0082739F"/>
    <w:rsid w:val="00830B6D"/>
    <w:rsid w:val="00832258"/>
    <w:rsid w:val="00832AF1"/>
    <w:rsid w:val="008359B9"/>
    <w:rsid w:val="00835E7B"/>
    <w:rsid w:val="00837984"/>
    <w:rsid w:val="008447BC"/>
    <w:rsid w:val="00847002"/>
    <w:rsid w:val="0085001E"/>
    <w:rsid w:val="00853B82"/>
    <w:rsid w:val="00853FBA"/>
    <w:rsid w:val="008545C1"/>
    <w:rsid w:val="0086043C"/>
    <w:rsid w:val="00863457"/>
    <w:rsid w:val="0086386A"/>
    <w:rsid w:val="008644C6"/>
    <w:rsid w:val="00866B28"/>
    <w:rsid w:val="00866EEE"/>
    <w:rsid w:val="00870A9F"/>
    <w:rsid w:val="00871873"/>
    <w:rsid w:val="008777C0"/>
    <w:rsid w:val="00882BA6"/>
    <w:rsid w:val="00883492"/>
    <w:rsid w:val="00884D19"/>
    <w:rsid w:val="0088539A"/>
    <w:rsid w:val="00886AFD"/>
    <w:rsid w:val="00887263"/>
    <w:rsid w:val="008872F8"/>
    <w:rsid w:val="00893689"/>
    <w:rsid w:val="0089486E"/>
    <w:rsid w:val="00897519"/>
    <w:rsid w:val="00897544"/>
    <w:rsid w:val="00897E7B"/>
    <w:rsid w:val="008A0069"/>
    <w:rsid w:val="008A0218"/>
    <w:rsid w:val="008A092D"/>
    <w:rsid w:val="008A0E83"/>
    <w:rsid w:val="008A1950"/>
    <w:rsid w:val="008A26E7"/>
    <w:rsid w:val="008A3CBE"/>
    <w:rsid w:val="008A4C89"/>
    <w:rsid w:val="008A6052"/>
    <w:rsid w:val="008B1DEF"/>
    <w:rsid w:val="008B1F7E"/>
    <w:rsid w:val="008B2FA6"/>
    <w:rsid w:val="008C49B4"/>
    <w:rsid w:val="008C4E32"/>
    <w:rsid w:val="008C53F0"/>
    <w:rsid w:val="008C6A87"/>
    <w:rsid w:val="008D3BF4"/>
    <w:rsid w:val="008D3D9A"/>
    <w:rsid w:val="008D3EDF"/>
    <w:rsid w:val="008D4FA6"/>
    <w:rsid w:val="008D7A16"/>
    <w:rsid w:val="008E0CBF"/>
    <w:rsid w:val="008E16B9"/>
    <w:rsid w:val="008E578F"/>
    <w:rsid w:val="008E5791"/>
    <w:rsid w:val="008E5D26"/>
    <w:rsid w:val="008E5DC9"/>
    <w:rsid w:val="008E6956"/>
    <w:rsid w:val="008E6CAE"/>
    <w:rsid w:val="008E77D6"/>
    <w:rsid w:val="008F1EE4"/>
    <w:rsid w:val="008F3CBE"/>
    <w:rsid w:val="008F4CC0"/>
    <w:rsid w:val="008F7108"/>
    <w:rsid w:val="008F72DE"/>
    <w:rsid w:val="008F7D7A"/>
    <w:rsid w:val="009002C4"/>
    <w:rsid w:val="009019C6"/>
    <w:rsid w:val="00904648"/>
    <w:rsid w:val="0090521F"/>
    <w:rsid w:val="00905656"/>
    <w:rsid w:val="00910AB0"/>
    <w:rsid w:val="00915DB1"/>
    <w:rsid w:val="0091649D"/>
    <w:rsid w:val="009207E0"/>
    <w:rsid w:val="00920F6B"/>
    <w:rsid w:val="009222E5"/>
    <w:rsid w:val="00922728"/>
    <w:rsid w:val="009258E3"/>
    <w:rsid w:val="009308F4"/>
    <w:rsid w:val="00932F56"/>
    <w:rsid w:val="009338BD"/>
    <w:rsid w:val="0093504D"/>
    <w:rsid w:val="00935810"/>
    <w:rsid w:val="00936AE8"/>
    <w:rsid w:val="009371C0"/>
    <w:rsid w:val="00940B6E"/>
    <w:rsid w:val="00942FB3"/>
    <w:rsid w:val="00944C6F"/>
    <w:rsid w:val="00945FAD"/>
    <w:rsid w:val="00946046"/>
    <w:rsid w:val="00947D48"/>
    <w:rsid w:val="00950776"/>
    <w:rsid w:val="0095091A"/>
    <w:rsid w:val="00950BAB"/>
    <w:rsid w:val="00956259"/>
    <w:rsid w:val="00957B20"/>
    <w:rsid w:val="00961EBD"/>
    <w:rsid w:val="00962EBA"/>
    <w:rsid w:val="0096429F"/>
    <w:rsid w:val="00965052"/>
    <w:rsid w:val="0096665B"/>
    <w:rsid w:val="00966902"/>
    <w:rsid w:val="009674CE"/>
    <w:rsid w:val="0097039B"/>
    <w:rsid w:val="00970A08"/>
    <w:rsid w:val="00971217"/>
    <w:rsid w:val="00971250"/>
    <w:rsid w:val="009724A5"/>
    <w:rsid w:val="00973107"/>
    <w:rsid w:val="00973904"/>
    <w:rsid w:val="00973B2C"/>
    <w:rsid w:val="009749A3"/>
    <w:rsid w:val="0097645A"/>
    <w:rsid w:val="00983832"/>
    <w:rsid w:val="0099130B"/>
    <w:rsid w:val="009978BA"/>
    <w:rsid w:val="009A27B7"/>
    <w:rsid w:val="009A58D5"/>
    <w:rsid w:val="009B2556"/>
    <w:rsid w:val="009B2869"/>
    <w:rsid w:val="009B2DC9"/>
    <w:rsid w:val="009B459C"/>
    <w:rsid w:val="009B58C8"/>
    <w:rsid w:val="009B6648"/>
    <w:rsid w:val="009C2BF5"/>
    <w:rsid w:val="009C617E"/>
    <w:rsid w:val="009D2330"/>
    <w:rsid w:val="009D31CE"/>
    <w:rsid w:val="009D60B9"/>
    <w:rsid w:val="009D6737"/>
    <w:rsid w:val="009E15B2"/>
    <w:rsid w:val="009E3F5F"/>
    <w:rsid w:val="009E42CB"/>
    <w:rsid w:val="009E5D9C"/>
    <w:rsid w:val="009E664C"/>
    <w:rsid w:val="009F0AB7"/>
    <w:rsid w:val="009F4349"/>
    <w:rsid w:val="009F4709"/>
    <w:rsid w:val="00A01734"/>
    <w:rsid w:val="00A03200"/>
    <w:rsid w:val="00A046E7"/>
    <w:rsid w:val="00A05F1D"/>
    <w:rsid w:val="00A0722E"/>
    <w:rsid w:val="00A072FD"/>
    <w:rsid w:val="00A1247C"/>
    <w:rsid w:val="00A130CF"/>
    <w:rsid w:val="00A146F2"/>
    <w:rsid w:val="00A14DC6"/>
    <w:rsid w:val="00A159E9"/>
    <w:rsid w:val="00A17012"/>
    <w:rsid w:val="00A17464"/>
    <w:rsid w:val="00A25D34"/>
    <w:rsid w:val="00A32568"/>
    <w:rsid w:val="00A325F8"/>
    <w:rsid w:val="00A32CE5"/>
    <w:rsid w:val="00A350C0"/>
    <w:rsid w:val="00A36E0D"/>
    <w:rsid w:val="00A37437"/>
    <w:rsid w:val="00A40041"/>
    <w:rsid w:val="00A40313"/>
    <w:rsid w:val="00A4048C"/>
    <w:rsid w:val="00A43C23"/>
    <w:rsid w:val="00A45510"/>
    <w:rsid w:val="00A5069E"/>
    <w:rsid w:val="00A50DA2"/>
    <w:rsid w:val="00A53CAB"/>
    <w:rsid w:val="00A54E3E"/>
    <w:rsid w:val="00A560D8"/>
    <w:rsid w:val="00A574E1"/>
    <w:rsid w:val="00A601AE"/>
    <w:rsid w:val="00A61BD6"/>
    <w:rsid w:val="00A650A2"/>
    <w:rsid w:val="00A668CD"/>
    <w:rsid w:val="00A669A7"/>
    <w:rsid w:val="00A6741A"/>
    <w:rsid w:val="00A70704"/>
    <w:rsid w:val="00A735BA"/>
    <w:rsid w:val="00A77E6F"/>
    <w:rsid w:val="00A82FF4"/>
    <w:rsid w:val="00A83735"/>
    <w:rsid w:val="00A83D57"/>
    <w:rsid w:val="00A844E3"/>
    <w:rsid w:val="00A87EF2"/>
    <w:rsid w:val="00A91E3E"/>
    <w:rsid w:val="00A92A95"/>
    <w:rsid w:val="00A93F34"/>
    <w:rsid w:val="00A95754"/>
    <w:rsid w:val="00A95EC7"/>
    <w:rsid w:val="00AA122E"/>
    <w:rsid w:val="00AA18C3"/>
    <w:rsid w:val="00AA42C2"/>
    <w:rsid w:val="00AB2E26"/>
    <w:rsid w:val="00AB321B"/>
    <w:rsid w:val="00AB4465"/>
    <w:rsid w:val="00AB45AD"/>
    <w:rsid w:val="00AB4660"/>
    <w:rsid w:val="00AC3C83"/>
    <w:rsid w:val="00AC75FF"/>
    <w:rsid w:val="00AD1619"/>
    <w:rsid w:val="00AD18A6"/>
    <w:rsid w:val="00AE06DA"/>
    <w:rsid w:val="00AE1461"/>
    <w:rsid w:val="00AE2744"/>
    <w:rsid w:val="00AE2AC9"/>
    <w:rsid w:val="00AE4BD2"/>
    <w:rsid w:val="00AF24A5"/>
    <w:rsid w:val="00AF29F9"/>
    <w:rsid w:val="00AF6B0D"/>
    <w:rsid w:val="00B0055E"/>
    <w:rsid w:val="00B0417A"/>
    <w:rsid w:val="00B04834"/>
    <w:rsid w:val="00B05951"/>
    <w:rsid w:val="00B061E3"/>
    <w:rsid w:val="00B12861"/>
    <w:rsid w:val="00B1601E"/>
    <w:rsid w:val="00B16AF7"/>
    <w:rsid w:val="00B1733D"/>
    <w:rsid w:val="00B20362"/>
    <w:rsid w:val="00B24C81"/>
    <w:rsid w:val="00B266D3"/>
    <w:rsid w:val="00B27B3D"/>
    <w:rsid w:val="00B27E06"/>
    <w:rsid w:val="00B30338"/>
    <w:rsid w:val="00B30FC4"/>
    <w:rsid w:val="00B32135"/>
    <w:rsid w:val="00B3229A"/>
    <w:rsid w:val="00B3330A"/>
    <w:rsid w:val="00B33EEC"/>
    <w:rsid w:val="00B3417E"/>
    <w:rsid w:val="00B34E1E"/>
    <w:rsid w:val="00B35AD4"/>
    <w:rsid w:val="00B36037"/>
    <w:rsid w:val="00B375CA"/>
    <w:rsid w:val="00B43718"/>
    <w:rsid w:val="00B45914"/>
    <w:rsid w:val="00B505DE"/>
    <w:rsid w:val="00B51F69"/>
    <w:rsid w:val="00B5473B"/>
    <w:rsid w:val="00B5647F"/>
    <w:rsid w:val="00B617EC"/>
    <w:rsid w:val="00B624B5"/>
    <w:rsid w:val="00B75556"/>
    <w:rsid w:val="00B75617"/>
    <w:rsid w:val="00B7607B"/>
    <w:rsid w:val="00B76180"/>
    <w:rsid w:val="00B821C7"/>
    <w:rsid w:val="00B83C3E"/>
    <w:rsid w:val="00B85B2C"/>
    <w:rsid w:val="00B87EEF"/>
    <w:rsid w:val="00B9153A"/>
    <w:rsid w:val="00B923E8"/>
    <w:rsid w:val="00B9486C"/>
    <w:rsid w:val="00B954EB"/>
    <w:rsid w:val="00BA33B4"/>
    <w:rsid w:val="00BA38C3"/>
    <w:rsid w:val="00BA4949"/>
    <w:rsid w:val="00BA6D83"/>
    <w:rsid w:val="00BB0E5F"/>
    <w:rsid w:val="00BB2BD4"/>
    <w:rsid w:val="00BB60ED"/>
    <w:rsid w:val="00BB66BD"/>
    <w:rsid w:val="00BC07F0"/>
    <w:rsid w:val="00BC10C8"/>
    <w:rsid w:val="00BC1F36"/>
    <w:rsid w:val="00BC35D5"/>
    <w:rsid w:val="00BC47ED"/>
    <w:rsid w:val="00BC4EB7"/>
    <w:rsid w:val="00BC66EB"/>
    <w:rsid w:val="00BD17D7"/>
    <w:rsid w:val="00BD373F"/>
    <w:rsid w:val="00BD6C50"/>
    <w:rsid w:val="00BE2DAD"/>
    <w:rsid w:val="00BE3816"/>
    <w:rsid w:val="00BE3CD4"/>
    <w:rsid w:val="00BE43A8"/>
    <w:rsid w:val="00BF0489"/>
    <w:rsid w:val="00BF188B"/>
    <w:rsid w:val="00BF2A2A"/>
    <w:rsid w:val="00C004E8"/>
    <w:rsid w:val="00C00F91"/>
    <w:rsid w:val="00C02496"/>
    <w:rsid w:val="00C03F9D"/>
    <w:rsid w:val="00C065AF"/>
    <w:rsid w:val="00C07BF9"/>
    <w:rsid w:val="00C107BA"/>
    <w:rsid w:val="00C16B02"/>
    <w:rsid w:val="00C17A72"/>
    <w:rsid w:val="00C20B4E"/>
    <w:rsid w:val="00C21358"/>
    <w:rsid w:val="00C26815"/>
    <w:rsid w:val="00C30B41"/>
    <w:rsid w:val="00C31FD0"/>
    <w:rsid w:val="00C33DD2"/>
    <w:rsid w:val="00C35E5F"/>
    <w:rsid w:val="00C45600"/>
    <w:rsid w:val="00C45F56"/>
    <w:rsid w:val="00C460BE"/>
    <w:rsid w:val="00C52529"/>
    <w:rsid w:val="00C538E0"/>
    <w:rsid w:val="00C564E6"/>
    <w:rsid w:val="00C632E4"/>
    <w:rsid w:val="00C63C63"/>
    <w:rsid w:val="00C64293"/>
    <w:rsid w:val="00C64508"/>
    <w:rsid w:val="00C64E4A"/>
    <w:rsid w:val="00C6594B"/>
    <w:rsid w:val="00C67F46"/>
    <w:rsid w:val="00C706D9"/>
    <w:rsid w:val="00C70D61"/>
    <w:rsid w:val="00C721CE"/>
    <w:rsid w:val="00C72A94"/>
    <w:rsid w:val="00C80DF1"/>
    <w:rsid w:val="00C817DA"/>
    <w:rsid w:val="00C81879"/>
    <w:rsid w:val="00C84D9F"/>
    <w:rsid w:val="00C85ACC"/>
    <w:rsid w:val="00C90F59"/>
    <w:rsid w:val="00C9371E"/>
    <w:rsid w:val="00C978EF"/>
    <w:rsid w:val="00CA1A9D"/>
    <w:rsid w:val="00CA76AA"/>
    <w:rsid w:val="00CA7867"/>
    <w:rsid w:val="00CB0385"/>
    <w:rsid w:val="00CB3A23"/>
    <w:rsid w:val="00CB6398"/>
    <w:rsid w:val="00CB7068"/>
    <w:rsid w:val="00CB7771"/>
    <w:rsid w:val="00CC413D"/>
    <w:rsid w:val="00CD081E"/>
    <w:rsid w:val="00CD18FF"/>
    <w:rsid w:val="00CD27F4"/>
    <w:rsid w:val="00CD6D68"/>
    <w:rsid w:val="00CE150C"/>
    <w:rsid w:val="00CE25B4"/>
    <w:rsid w:val="00CE27E9"/>
    <w:rsid w:val="00CE3711"/>
    <w:rsid w:val="00CE7555"/>
    <w:rsid w:val="00CF00F0"/>
    <w:rsid w:val="00CF4A0E"/>
    <w:rsid w:val="00CF4CF9"/>
    <w:rsid w:val="00CF6239"/>
    <w:rsid w:val="00D00ACA"/>
    <w:rsid w:val="00D0216A"/>
    <w:rsid w:val="00D02E73"/>
    <w:rsid w:val="00D14AFC"/>
    <w:rsid w:val="00D15442"/>
    <w:rsid w:val="00D16FCB"/>
    <w:rsid w:val="00D17849"/>
    <w:rsid w:val="00D206FE"/>
    <w:rsid w:val="00D209FE"/>
    <w:rsid w:val="00D251F7"/>
    <w:rsid w:val="00D26AD3"/>
    <w:rsid w:val="00D27803"/>
    <w:rsid w:val="00D31EA1"/>
    <w:rsid w:val="00D33BA7"/>
    <w:rsid w:val="00D35727"/>
    <w:rsid w:val="00D35E5E"/>
    <w:rsid w:val="00D41A14"/>
    <w:rsid w:val="00D44091"/>
    <w:rsid w:val="00D44E5F"/>
    <w:rsid w:val="00D46469"/>
    <w:rsid w:val="00D46720"/>
    <w:rsid w:val="00D50B86"/>
    <w:rsid w:val="00D5122F"/>
    <w:rsid w:val="00D5421B"/>
    <w:rsid w:val="00D5696F"/>
    <w:rsid w:val="00D57D46"/>
    <w:rsid w:val="00D64370"/>
    <w:rsid w:val="00D643B3"/>
    <w:rsid w:val="00D66B61"/>
    <w:rsid w:val="00D737EB"/>
    <w:rsid w:val="00D7785A"/>
    <w:rsid w:val="00D83D11"/>
    <w:rsid w:val="00D84A2E"/>
    <w:rsid w:val="00D85B36"/>
    <w:rsid w:val="00D86E22"/>
    <w:rsid w:val="00D8747E"/>
    <w:rsid w:val="00D91195"/>
    <w:rsid w:val="00D925A3"/>
    <w:rsid w:val="00D93DDE"/>
    <w:rsid w:val="00D96AD9"/>
    <w:rsid w:val="00DA2890"/>
    <w:rsid w:val="00DA71EB"/>
    <w:rsid w:val="00DB1D16"/>
    <w:rsid w:val="00DC0FC3"/>
    <w:rsid w:val="00DC5765"/>
    <w:rsid w:val="00DC5D34"/>
    <w:rsid w:val="00DC7376"/>
    <w:rsid w:val="00DD17EF"/>
    <w:rsid w:val="00DD5B62"/>
    <w:rsid w:val="00DD7568"/>
    <w:rsid w:val="00DE2884"/>
    <w:rsid w:val="00DE4701"/>
    <w:rsid w:val="00DE513C"/>
    <w:rsid w:val="00DE543B"/>
    <w:rsid w:val="00DE6CC7"/>
    <w:rsid w:val="00DE6D90"/>
    <w:rsid w:val="00DE7CAC"/>
    <w:rsid w:val="00DF0396"/>
    <w:rsid w:val="00DF1638"/>
    <w:rsid w:val="00DF275E"/>
    <w:rsid w:val="00DF5894"/>
    <w:rsid w:val="00DF6757"/>
    <w:rsid w:val="00E00101"/>
    <w:rsid w:val="00E00EFE"/>
    <w:rsid w:val="00E01D9C"/>
    <w:rsid w:val="00E051E3"/>
    <w:rsid w:val="00E0549E"/>
    <w:rsid w:val="00E10B2B"/>
    <w:rsid w:val="00E110DD"/>
    <w:rsid w:val="00E15EC9"/>
    <w:rsid w:val="00E1674B"/>
    <w:rsid w:val="00E16DDA"/>
    <w:rsid w:val="00E208BA"/>
    <w:rsid w:val="00E23FE5"/>
    <w:rsid w:val="00E30ADE"/>
    <w:rsid w:val="00E31181"/>
    <w:rsid w:val="00E31592"/>
    <w:rsid w:val="00E351A3"/>
    <w:rsid w:val="00E379D4"/>
    <w:rsid w:val="00E408EC"/>
    <w:rsid w:val="00E4543C"/>
    <w:rsid w:val="00E45992"/>
    <w:rsid w:val="00E461AD"/>
    <w:rsid w:val="00E47050"/>
    <w:rsid w:val="00E47E31"/>
    <w:rsid w:val="00E50B28"/>
    <w:rsid w:val="00E51E7F"/>
    <w:rsid w:val="00E5374A"/>
    <w:rsid w:val="00E55972"/>
    <w:rsid w:val="00E563E1"/>
    <w:rsid w:val="00E6116A"/>
    <w:rsid w:val="00E64D2C"/>
    <w:rsid w:val="00E67461"/>
    <w:rsid w:val="00E72071"/>
    <w:rsid w:val="00E72F87"/>
    <w:rsid w:val="00E73ED1"/>
    <w:rsid w:val="00E802DF"/>
    <w:rsid w:val="00E80A83"/>
    <w:rsid w:val="00E81F8A"/>
    <w:rsid w:val="00E9049E"/>
    <w:rsid w:val="00E938FF"/>
    <w:rsid w:val="00EA0F5F"/>
    <w:rsid w:val="00EA58FB"/>
    <w:rsid w:val="00EA59B9"/>
    <w:rsid w:val="00EB37A7"/>
    <w:rsid w:val="00EB4284"/>
    <w:rsid w:val="00EB6F74"/>
    <w:rsid w:val="00EB79AE"/>
    <w:rsid w:val="00EC2195"/>
    <w:rsid w:val="00EC3822"/>
    <w:rsid w:val="00EC55BC"/>
    <w:rsid w:val="00EC5924"/>
    <w:rsid w:val="00ED0265"/>
    <w:rsid w:val="00ED074B"/>
    <w:rsid w:val="00ED2824"/>
    <w:rsid w:val="00ED431B"/>
    <w:rsid w:val="00ED4477"/>
    <w:rsid w:val="00ED747E"/>
    <w:rsid w:val="00EE06B2"/>
    <w:rsid w:val="00EE3BD8"/>
    <w:rsid w:val="00EE46E8"/>
    <w:rsid w:val="00EE51B1"/>
    <w:rsid w:val="00EE6DC4"/>
    <w:rsid w:val="00EF43DF"/>
    <w:rsid w:val="00EF5843"/>
    <w:rsid w:val="00EF7B5D"/>
    <w:rsid w:val="00F01322"/>
    <w:rsid w:val="00F01EBF"/>
    <w:rsid w:val="00F02F59"/>
    <w:rsid w:val="00F1180A"/>
    <w:rsid w:val="00F14182"/>
    <w:rsid w:val="00F14306"/>
    <w:rsid w:val="00F15E89"/>
    <w:rsid w:val="00F179E2"/>
    <w:rsid w:val="00F17F4A"/>
    <w:rsid w:val="00F20D4E"/>
    <w:rsid w:val="00F2316D"/>
    <w:rsid w:val="00F26F7F"/>
    <w:rsid w:val="00F3298D"/>
    <w:rsid w:val="00F46540"/>
    <w:rsid w:val="00F4772E"/>
    <w:rsid w:val="00F5000C"/>
    <w:rsid w:val="00F57B33"/>
    <w:rsid w:val="00F61909"/>
    <w:rsid w:val="00F626B4"/>
    <w:rsid w:val="00F66767"/>
    <w:rsid w:val="00F6779F"/>
    <w:rsid w:val="00F713D1"/>
    <w:rsid w:val="00F72146"/>
    <w:rsid w:val="00F72A87"/>
    <w:rsid w:val="00F72B71"/>
    <w:rsid w:val="00F736F8"/>
    <w:rsid w:val="00F772E6"/>
    <w:rsid w:val="00F81D8D"/>
    <w:rsid w:val="00F82C63"/>
    <w:rsid w:val="00F8311F"/>
    <w:rsid w:val="00F86F40"/>
    <w:rsid w:val="00F87920"/>
    <w:rsid w:val="00F9181F"/>
    <w:rsid w:val="00F953A8"/>
    <w:rsid w:val="00F953AB"/>
    <w:rsid w:val="00F95AC0"/>
    <w:rsid w:val="00F96B56"/>
    <w:rsid w:val="00F97348"/>
    <w:rsid w:val="00F9736C"/>
    <w:rsid w:val="00F975D7"/>
    <w:rsid w:val="00FA07A0"/>
    <w:rsid w:val="00FA3548"/>
    <w:rsid w:val="00FA4903"/>
    <w:rsid w:val="00FA76CB"/>
    <w:rsid w:val="00FB4F74"/>
    <w:rsid w:val="00FC132C"/>
    <w:rsid w:val="00FC18A1"/>
    <w:rsid w:val="00FC43DE"/>
    <w:rsid w:val="00FC4950"/>
    <w:rsid w:val="00FC639D"/>
    <w:rsid w:val="00FC79A6"/>
    <w:rsid w:val="00FC7E33"/>
    <w:rsid w:val="00FD01E8"/>
    <w:rsid w:val="00FD16AD"/>
    <w:rsid w:val="00FD321C"/>
    <w:rsid w:val="00FD5B56"/>
    <w:rsid w:val="00FD73D8"/>
    <w:rsid w:val="00FD77F1"/>
    <w:rsid w:val="00FE17DA"/>
    <w:rsid w:val="00FE2301"/>
    <w:rsid w:val="00FE4610"/>
    <w:rsid w:val="00FE4B65"/>
    <w:rsid w:val="00FE661F"/>
    <w:rsid w:val="00FF0255"/>
    <w:rsid w:val="00FF76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AEEC"/>
  <w15:docId w15:val="{A7EAD381-C76C-4D4A-AC65-96B2EEC7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2744D"/>
    <w:pPr>
      <w:ind w:left="720"/>
      <w:contextualSpacing/>
    </w:pPr>
  </w:style>
  <w:style w:type="character" w:styleId="Hyperlink">
    <w:name w:val="Hyperlink"/>
    <w:basedOn w:val="DefaultParagraphFont"/>
    <w:uiPriority w:val="99"/>
    <w:unhideWhenUsed/>
    <w:rsid w:val="00C35E5F"/>
    <w:rPr>
      <w:color w:val="0000FF" w:themeColor="hyperlink"/>
      <w:u w:val="single"/>
    </w:rPr>
  </w:style>
  <w:style w:type="table" w:styleId="TableGrid">
    <w:name w:val="Table Grid"/>
    <w:basedOn w:val="TableNormal"/>
    <w:uiPriority w:val="39"/>
    <w:rsid w:val="00E72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D19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2A6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4B9"/>
  </w:style>
  <w:style w:type="paragraph" w:styleId="Footer">
    <w:name w:val="footer"/>
    <w:basedOn w:val="Normal"/>
    <w:link w:val="FooterChar"/>
    <w:uiPriority w:val="99"/>
    <w:unhideWhenUsed/>
    <w:rsid w:val="002A6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B9"/>
  </w:style>
  <w:style w:type="paragraph" w:styleId="Revision">
    <w:name w:val="Revision"/>
    <w:hidden/>
    <w:uiPriority w:val="99"/>
    <w:semiHidden/>
    <w:rsid w:val="006F14F5"/>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CommentReference">
    <w:name w:val="annotation reference"/>
    <w:basedOn w:val="DefaultParagraphFont"/>
    <w:uiPriority w:val="99"/>
    <w:semiHidden/>
    <w:unhideWhenUsed/>
    <w:rsid w:val="006F14F5"/>
    <w:rPr>
      <w:sz w:val="16"/>
      <w:szCs w:val="16"/>
    </w:rPr>
  </w:style>
  <w:style w:type="paragraph" w:styleId="CommentText">
    <w:name w:val="annotation text"/>
    <w:basedOn w:val="Normal"/>
    <w:link w:val="CommentTextChar"/>
    <w:uiPriority w:val="99"/>
    <w:semiHidden/>
    <w:unhideWhenUsed/>
    <w:rsid w:val="006F14F5"/>
    <w:pPr>
      <w:spacing w:line="240" w:lineRule="auto"/>
    </w:pPr>
    <w:rPr>
      <w:sz w:val="20"/>
      <w:szCs w:val="20"/>
    </w:rPr>
  </w:style>
  <w:style w:type="character" w:customStyle="1" w:styleId="CommentTextChar">
    <w:name w:val="Comment Text Char"/>
    <w:basedOn w:val="DefaultParagraphFont"/>
    <w:link w:val="CommentText"/>
    <w:uiPriority w:val="99"/>
    <w:semiHidden/>
    <w:rsid w:val="006F14F5"/>
    <w:rPr>
      <w:sz w:val="20"/>
      <w:szCs w:val="20"/>
    </w:rPr>
  </w:style>
  <w:style w:type="paragraph" w:styleId="CommentSubject">
    <w:name w:val="annotation subject"/>
    <w:basedOn w:val="CommentText"/>
    <w:next w:val="CommentText"/>
    <w:link w:val="CommentSubjectChar"/>
    <w:uiPriority w:val="99"/>
    <w:semiHidden/>
    <w:unhideWhenUsed/>
    <w:rsid w:val="006F14F5"/>
    <w:rPr>
      <w:b/>
      <w:bCs/>
    </w:rPr>
  </w:style>
  <w:style w:type="character" w:customStyle="1" w:styleId="CommentSubjectChar">
    <w:name w:val="Comment Subject Char"/>
    <w:basedOn w:val="CommentTextChar"/>
    <w:link w:val="CommentSubject"/>
    <w:uiPriority w:val="99"/>
    <w:semiHidden/>
    <w:rsid w:val="006F14F5"/>
    <w:rPr>
      <w:b/>
      <w:bCs/>
      <w:sz w:val="20"/>
      <w:szCs w:val="20"/>
    </w:rPr>
  </w:style>
  <w:style w:type="paragraph" w:styleId="BalloonText">
    <w:name w:val="Balloon Text"/>
    <w:basedOn w:val="Normal"/>
    <w:link w:val="BalloonTextChar"/>
    <w:uiPriority w:val="99"/>
    <w:semiHidden/>
    <w:unhideWhenUsed/>
    <w:rsid w:val="006F14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14F5"/>
    <w:rPr>
      <w:rFonts w:ascii="Times New Roman" w:hAnsi="Times New Roman" w:cs="Times New Roman"/>
      <w:sz w:val="18"/>
      <w:szCs w:val="18"/>
    </w:rPr>
  </w:style>
  <w:style w:type="character" w:styleId="Strong">
    <w:name w:val="Strong"/>
    <w:basedOn w:val="DefaultParagraphFont"/>
    <w:uiPriority w:val="22"/>
    <w:qFormat/>
    <w:rsid w:val="00D5696F"/>
    <w:rPr>
      <w:b/>
      <w:bCs/>
    </w:rPr>
  </w:style>
  <w:style w:type="paragraph" w:styleId="NormalWeb">
    <w:name w:val="Normal (Web)"/>
    <w:basedOn w:val="Normal"/>
    <w:uiPriority w:val="99"/>
    <w:unhideWhenUsed/>
    <w:rsid w:val="00177FC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326EAE"/>
    <w:rPr>
      <w:i/>
      <w:iCs/>
    </w:rPr>
  </w:style>
  <w:style w:type="paragraph" w:styleId="FootnoteText">
    <w:name w:val="footnote text"/>
    <w:basedOn w:val="Normal"/>
    <w:link w:val="FootnoteTextChar"/>
    <w:uiPriority w:val="99"/>
    <w:semiHidden/>
    <w:unhideWhenUsed/>
    <w:rsid w:val="00A159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9E9"/>
    <w:rPr>
      <w:sz w:val="20"/>
      <w:szCs w:val="20"/>
    </w:rPr>
  </w:style>
  <w:style w:type="character" w:styleId="FootnoteReference">
    <w:name w:val="footnote reference"/>
    <w:basedOn w:val="DefaultParagraphFont"/>
    <w:uiPriority w:val="99"/>
    <w:semiHidden/>
    <w:unhideWhenUsed/>
    <w:rsid w:val="00A159E9"/>
    <w:rPr>
      <w:vertAlign w:val="superscript"/>
    </w:rPr>
  </w:style>
  <w:style w:type="character" w:customStyle="1" w:styleId="UnresolvedMention1">
    <w:name w:val="Unresolved Mention1"/>
    <w:basedOn w:val="DefaultParagraphFont"/>
    <w:uiPriority w:val="99"/>
    <w:semiHidden/>
    <w:unhideWhenUsed/>
    <w:rsid w:val="003F1D4B"/>
    <w:rPr>
      <w:color w:val="605E5C"/>
      <w:shd w:val="clear" w:color="auto" w:fill="E1DFDD"/>
    </w:rPr>
  </w:style>
  <w:style w:type="character" w:styleId="PageNumber">
    <w:name w:val="page number"/>
    <w:basedOn w:val="DefaultParagraphFont"/>
    <w:uiPriority w:val="99"/>
    <w:semiHidden/>
    <w:unhideWhenUsed/>
    <w:rsid w:val="00112C6B"/>
  </w:style>
  <w:style w:type="table" w:styleId="PlainTable2">
    <w:name w:val="Plain Table 2"/>
    <w:basedOn w:val="TableNormal"/>
    <w:uiPriority w:val="42"/>
    <w:rsid w:val="00E80A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917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409">
      <w:bodyDiv w:val="1"/>
      <w:marLeft w:val="0"/>
      <w:marRight w:val="0"/>
      <w:marTop w:val="0"/>
      <w:marBottom w:val="0"/>
      <w:divBdr>
        <w:top w:val="none" w:sz="0" w:space="0" w:color="auto"/>
        <w:left w:val="none" w:sz="0" w:space="0" w:color="auto"/>
        <w:bottom w:val="none" w:sz="0" w:space="0" w:color="auto"/>
        <w:right w:val="none" w:sz="0" w:space="0" w:color="auto"/>
      </w:divBdr>
    </w:div>
    <w:div w:id="96604629">
      <w:bodyDiv w:val="1"/>
      <w:marLeft w:val="0"/>
      <w:marRight w:val="0"/>
      <w:marTop w:val="0"/>
      <w:marBottom w:val="0"/>
      <w:divBdr>
        <w:top w:val="none" w:sz="0" w:space="0" w:color="auto"/>
        <w:left w:val="none" w:sz="0" w:space="0" w:color="auto"/>
        <w:bottom w:val="none" w:sz="0" w:space="0" w:color="auto"/>
        <w:right w:val="none" w:sz="0" w:space="0" w:color="auto"/>
      </w:divBdr>
    </w:div>
    <w:div w:id="150876409">
      <w:bodyDiv w:val="1"/>
      <w:marLeft w:val="0"/>
      <w:marRight w:val="0"/>
      <w:marTop w:val="0"/>
      <w:marBottom w:val="0"/>
      <w:divBdr>
        <w:top w:val="none" w:sz="0" w:space="0" w:color="auto"/>
        <w:left w:val="none" w:sz="0" w:space="0" w:color="auto"/>
        <w:bottom w:val="none" w:sz="0" w:space="0" w:color="auto"/>
        <w:right w:val="none" w:sz="0" w:space="0" w:color="auto"/>
      </w:divBdr>
    </w:div>
    <w:div w:id="188765847">
      <w:bodyDiv w:val="1"/>
      <w:marLeft w:val="0"/>
      <w:marRight w:val="0"/>
      <w:marTop w:val="0"/>
      <w:marBottom w:val="0"/>
      <w:divBdr>
        <w:top w:val="none" w:sz="0" w:space="0" w:color="auto"/>
        <w:left w:val="none" w:sz="0" w:space="0" w:color="auto"/>
        <w:bottom w:val="none" w:sz="0" w:space="0" w:color="auto"/>
        <w:right w:val="none" w:sz="0" w:space="0" w:color="auto"/>
      </w:divBdr>
    </w:div>
    <w:div w:id="200021883">
      <w:bodyDiv w:val="1"/>
      <w:marLeft w:val="0"/>
      <w:marRight w:val="0"/>
      <w:marTop w:val="0"/>
      <w:marBottom w:val="0"/>
      <w:divBdr>
        <w:top w:val="none" w:sz="0" w:space="0" w:color="auto"/>
        <w:left w:val="none" w:sz="0" w:space="0" w:color="auto"/>
        <w:bottom w:val="none" w:sz="0" w:space="0" w:color="auto"/>
        <w:right w:val="none" w:sz="0" w:space="0" w:color="auto"/>
      </w:divBdr>
    </w:div>
    <w:div w:id="241332049">
      <w:bodyDiv w:val="1"/>
      <w:marLeft w:val="0"/>
      <w:marRight w:val="0"/>
      <w:marTop w:val="0"/>
      <w:marBottom w:val="0"/>
      <w:divBdr>
        <w:top w:val="none" w:sz="0" w:space="0" w:color="auto"/>
        <w:left w:val="none" w:sz="0" w:space="0" w:color="auto"/>
        <w:bottom w:val="none" w:sz="0" w:space="0" w:color="auto"/>
        <w:right w:val="none" w:sz="0" w:space="0" w:color="auto"/>
      </w:divBdr>
    </w:div>
    <w:div w:id="348482951">
      <w:bodyDiv w:val="1"/>
      <w:marLeft w:val="0"/>
      <w:marRight w:val="0"/>
      <w:marTop w:val="0"/>
      <w:marBottom w:val="0"/>
      <w:divBdr>
        <w:top w:val="none" w:sz="0" w:space="0" w:color="auto"/>
        <w:left w:val="none" w:sz="0" w:space="0" w:color="auto"/>
        <w:bottom w:val="none" w:sz="0" w:space="0" w:color="auto"/>
        <w:right w:val="none" w:sz="0" w:space="0" w:color="auto"/>
      </w:divBdr>
    </w:div>
    <w:div w:id="387850705">
      <w:bodyDiv w:val="1"/>
      <w:marLeft w:val="0"/>
      <w:marRight w:val="0"/>
      <w:marTop w:val="0"/>
      <w:marBottom w:val="0"/>
      <w:divBdr>
        <w:top w:val="none" w:sz="0" w:space="0" w:color="auto"/>
        <w:left w:val="none" w:sz="0" w:space="0" w:color="auto"/>
        <w:bottom w:val="none" w:sz="0" w:space="0" w:color="auto"/>
        <w:right w:val="none" w:sz="0" w:space="0" w:color="auto"/>
      </w:divBdr>
    </w:div>
    <w:div w:id="396437663">
      <w:bodyDiv w:val="1"/>
      <w:marLeft w:val="0"/>
      <w:marRight w:val="0"/>
      <w:marTop w:val="0"/>
      <w:marBottom w:val="0"/>
      <w:divBdr>
        <w:top w:val="none" w:sz="0" w:space="0" w:color="auto"/>
        <w:left w:val="none" w:sz="0" w:space="0" w:color="auto"/>
        <w:bottom w:val="none" w:sz="0" w:space="0" w:color="auto"/>
        <w:right w:val="none" w:sz="0" w:space="0" w:color="auto"/>
      </w:divBdr>
    </w:div>
    <w:div w:id="419722926">
      <w:bodyDiv w:val="1"/>
      <w:marLeft w:val="0"/>
      <w:marRight w:val="0"/>
      <w:marTop w:val="0"/>
      <w:marBottom w:val="0"/>
      <w:divBdr>
        <w:top w:val="none" w:sz="0" w:space="0" w:color="auto"/>
        <w:left w:val="none" w:sz="0" w:space="0" w:color="auto"/>
        <w:bottom w:val="none" w:sz="0" w:space="0" w:color="auto"/>
        <w:right w:val="none" w:sz="0" w:space="0" w:color="auto"/>
      </w:divBdr>
    </w:div>
    <w:div w:id="509608009">
      <w:bodyDiv w:val="1"/>
      <w:marLeft w:val="0"/>
      <w:marRight w:val="0"/>
      <w:marTop w:val="0"/>
      <w:marBottom w:val="0"/>
      <w:divBdr>
        <w:top w:val="none" w:sz="0" w:space="0" w:color="auto"/>
        <w:left w:val="none" w:sz="0" w:space="0" w:color="auto"/>
        <w:bottom w:val="none" w:sz="0" w:space="0" w:color="auto"/>
        <w:right w:val="none" w:sz="0" w:space="0" w:color="auto"/>
      </w:divBdr>
    </w:div>
    <w:div w:id="541748241">
      <w:bodyDiv w:val="1"/>
      <w:marLeft w:val="0"/>
      <w:marRight w:val="0"/>
      <w:marTop w:val="0"/>
      <w:marBottom w:val="0"/>
      <w:divBdr>
        <w:top w:val="none" w:sz="0" w:space="0" w:color="auto"/>
        <w:left w:val="none" w:sz="0" w:space="0" w:color="auto"/>
        <w:bottom w:val="none" w:sz="0" w:space="0" w:color="auto"/>
        <w:right w:val="none" w:sz="0" w:space="0" w:color="auto"/>
      </w:divBdr>
    </w:div>
    <w:div w:id="549221784">
      <w:bodyDiv w:val="1"/>
      <w:marLeft w:val="0"/>
      <w:marRight w:val="0"/>
      <w:marTop w:val="0"/>
      <w:marBottom w:val="0"/>
      <w:divBdr>
        <w:top w:val="none" w:sz="0" w:space="0" w:color="auto"/>
        <w:left w:val="none" w:sz="0" w:space="0" w:color="auto"/>
        <w:bottom w:val="none" w:sz="0" w:space="0" w:color="auto"/>
        <w:right w:val="none" w:sz="0" w:space="0" w:color="auto"/>
      </w:divBdr>
    </w:div>
    <w:div w:id="622544249">
      <w:bodyDiv w:val="1"/>
      <w:marLeft w:val="0"/>
      <w:marRight w:val="0"/>
      <w:marTop w:val="0"/>
      <w:marBottom w:val="0"/>
      <w:divBdr>
        <w:top w:val="none" w:sz="0" w:space="0" w:color="auto"/>
        <w:left w:val="none" w:sz="0" w:space="0" w:color="auto"/>
        <w:bottom w:val="none" w:sz="0" w:space="0" w:color="auto"/>
        <w:right w:val="none" w:sz="0" w:space="0" w:color="auto"/>
      </w:divBdr>
    </w:div>
    <w:div w:id="700400645">
      <w:bodyDiv w:val="1"/>
      <w:marLeft w:val="0"/>
      <w:marRight w:val="0"/>
      <w:marTop w:val="0"/>
      <w:marBottom w:val="0"/>
      <w:divBdr>
        <w:top w:val="none" w:sz="0" w:space="0" w:color="auto"/>
        <w:left w:val="none" w:sz="0" w:space="0" w:color="auto"/>
        <w:bottom w:val="none" w:sz="0" w:space="0" w:color="auto"/>
        <w:right w:val="none" w:sz="0" w:space="0" w:color="auto"/>
      </w:divBdr>
    </w:div>
    <w:div w:id="774905688">
      <w:bodyDiv w:val="1"/>
      <w:marLeft w:val="0"/>
      <w:marRight w:val="0"/>
      <w:marTop w:val="0"/>
      <w:marBottom w:val="0"/>
      <w:divBdr>
        <w:top w:val="none" w:sz="0" w:space="0" w:color="auto"/>
        <w:left w:val="none" w:sz="0" w:space="0" w:color="auto"/>
        <w:bottom w:val="none" w:sz="0" w:space="0" w:color="auto"/>
        <w:right w:val="none" w:sz="0" w:space="0" w:color="auto"/>
      </w:divBdr>
      <w:divsChild>
        <w:div w:id="1230111592">
          <w:marLeft w:val="0"/>
          <w:marRight w:val="0"/>
          <w:marTop w:val="0"/>
          <w:marBottom w:val="0"/>
          <w:divBdr>
            <w:top w:val="none" w:sz="0" w:space="0" w:color="auto"/>
            <w:left w:val="none" w:sz="0" w:space="0" w:color="auto"/>
            <w:bottom w:val="none" w:sz="0" w:space="0" w:color="auto"/>
            <w:right w:val="none" w:sz="0" w:space="0" w:color="auto"/>
          </w:divBdr>
        </w:div>
      </w:divsChild>
    </w:div>
    <w:div w:id="780416121">
      <w:bodyDiv w:val="1"/>
      <w:marLeft w:val="0"/>
      <w:marRight w:val="0"/>
      <w:marTop w:val="0"/>
      <w:marBottom w:val="0"/>
      <w:divBdr>
        <w:top w:val="none" w:sz="0" w:space="0" w:color="auto"/>
        <w:left w:val="none" w:sz="0" w:space="0" w:color="auto"/>
        <w:bottom w:val="none" w:sz="0" w:space="0" w:color="auto"/>
        <w:right w:val="none" w:sz="0" w:space="0" w:color="auto"/>
      </w:divBdr>
    </w:div>
    <w:div w:id="839154109">
      <w:bodyDiv w:val="1"/>
      <w:marLeft w:val="0"/>
      <w:marRight w:val="0"/>
      <w:marTop w:val="0"/>
      <w:marBottom w:val="0"/>
      <w:divBdr>
        <w:top w:val="none" w:sz="0" w:space="0" w:color="auto"/>
        <w:left w:val="none" w:sz="0" w:space="0" w:color="auto"/>
        <w:bottom w:val="none" w:sz="0" w:space="0" w:color="auto"/>
        <w:right w:val="none" w:sz="0" w:space="0" w:color="auto"/>
      </w:divBdr>
    </w:div>
    <w:div w:id="859776957">
      <w:bodyDiv w:val="1"/>
      <w:marLeft w:val="0"/>
      <w:marRight w:val="0"/>
      <w:marTop w:val="0"/>
      <w:marBottom w:val="0"/>
      <w:divBdr>
        <w:top w:val="none" w:sz="0" w:space="0" w:color="auto"/>
        <w:left w:val="none" w:sz="0" w:space="0" w:color="auto"/>
        <w:bottom w:val="none" w:sz="0" w:space="0" w:color="auto"/>
        <w:right w:val="none" w:sz="0" w:space="0" w:color="auto"/>
      </w:divBdr>
    </w:div>
    <w:div w:id="925460779">
      <w:bodyDiv w:val="1"/>
      <w:marLeft w:val="0"/>
      <w:marRight w:val="0"/>
      <w:marTop w:val="0"/>
      <w:marBottom w:val="0"/>
      <w:divBdr>
        <w:top w:val="none" w:sz="0" w:space="0" w:color="auto"/>
        <w:left w:val="none" w:sz="0" w:space="0" w:color="auto"/>
        <w:bottom w:val="none" w:sz="0" w:space="0" w:color="auto"/>
        <w:right w:val="none" w:sz="0" w:space="0" w:color="auto"/>
      </w:divBdr>
    </w:div>
    <w:div w:id="941180350">
      <w:bodyDiv w:val="1"/>
      <w:marLeft w:val="0"/>
      <w:marRight w:val="0"/>
      <w:marTop w:val="0"/>
      <w:marBottom w:val="0"/>
      <w:divBdr>
        <w:top w:val="none" w:sz="0" w:space="0" w:color="auto"/>
        <w:left w:val="none" w:sz="0" w:space="0" w:color="auto"/>
        <w:bottom w:val="none" w:sz="0" w:space="0" w:color="auto"/>
        <w:right w:val="none" w:sz="0" w:space="0" w:color="auto"/>
      </w:divBdr>
    </w:div>
    <w:div w:id="957377721">
      <w:bodyDiv w:val="1"/>
      <w:marLeft w:val="0"/>
      <w:marRight w:val="0"/>
      <w:marTop w:val="0"/>
      <w:marBottom w:val="0"/>
      <w:divBdr>
        <w:top w:val="none" w:sz="0" w:space="0" w:color="auto"/>
        <w:left w:val="none" w:sz="0" w:space="0" w:color="auto"/>
        <w:bottom w:val="none" w:sz="0" w:space="0" w:color="auto"/>
        <w:right w:val="none" w:sz="0" w:space="0" w:color="auto"/>
      </w:divBdr>
    </w:div>
    <w:div w:id="1038552123">
      <w:bodyDiv w:val="1"/>
      <w:marLeft w:val="0"/>
      <w:marRight w:val="0"/>
      <w:marTop w:val="0"/>
      <w:marBottom w:val="0"/>
      <w:divBdr>
        <w:top w:val="none" w:sz="0" w:space="0" w:color="auto"/>
        <w:left w:val="none" w:sz="0" w:space="0" w:color="auto"/>
        <w:bottom w:val="none" w:sz="0" w:space="0" w:color="auto"/>
        <w:right w:val="none" w:sz="0" w:space="0" w:color="auto"/>
      </w:divBdr>
    </w:div>
    <w:div w:id="1099134235">
      <w:bodyDiv w:val="1"/>
      <w:marLeft w:val="0"/>
      <w:marRight w:val="0"/>
      <w:marTop w:val="0"/>
      <w:marBottom w:val="0"/>
      <w:divBdr>
        <w:top w:val="none" w:sz="0" w:space="0" w:color="auto"/>
        <w:left w:val="none" w:sz="0" w:space="0" w:color="auto"/>
        <w:bottom w:val="none" w:sz="0" w:space="0" w:color="auto"/>
        <w:right w:val="none" w:sz="0" w:space="0" w:color="auto"/>
      </w:divBdr>
    </w:div>
    <w:div w:id="1207715572">
      <w:bodyDiv w:val="1"/>
      <w:marLeft w:val="0"/>
      <w:marRight w:val="0"/>
      <w:marTop w:val="0"/>
      <w:marBottom w:val="0"/>
      <w:divBdr>
        <w:top w:val="none" w:sz="0" w:space="0" w:color="auto"/>
        <w:left w:val="none" w:sz="0" w:space="0" w:color="auto"/>
        <w:bottom w:val="none" w:sz="0" w:space="0" w:color="auto"/>
        <w:right w:val="none" w:sz="0" w:space="0" w:color="auto"/>
      </w:divBdr>
    </w:div>
    <w:div w:id="1211964296">
      <w:bodyDiv w:val="1"/>
      <w:marLeft w:val="0"/>
      <w:marRight w:val="0"/>
      <w:marTop w:val="0"/>
      <w:marBottom w:val="0"/>
      <w:divBdr>
        <w:top w:val="none" w:sz="0" w:space="0" w:color="auto"/>
        <w:left w:val="none" w:sz="0" w:space="0" w:color="auto"/>
        <w:bottom w:val="none" w:sz="0" w:space="0" w:color="auto"/>
        <w:right w:val="none" w:sz="0" w:space="0" w:color="auto"/>
      </w:divBdr>
    </w:div>
    <w:div w:id="1215240112">
      <w:bodyDiv w:val="1"/>
      <w:marLeft w:val="0"/>
      <w:marRight w:val="0"/>
      <w:marTop w:val="0"/>
      <w:marBottom w:val="0"/>
      <w:divBdr>
        <w:top w:val="none" w:sz="0" w:space="0" w:color="auto"/>
        <w:left w:val="none" w:sz="0" w:space="0" w:color="auto"/>
        <w:bottom w:val="none" w:sz="0" w:space="0" w:color="auto"/>
        <w:right w:val="none" w:sz="0" w:space="0" w:color="auto"/>
      </w:divBdr>
    </w:div>
    <w:div w:id="1352995695">
      <w:bodyDiv w:val="1"/>
      <w:marLeft w:val="0"/>
      <w:marRight w:val="0"/>
      <w:marTop w:val="0"/>
      <w:marBottom w:val="0"/>
      <w:divBdr>
        <w:top w:val="none" w:sz="0" w:space="0" w:color="auto"/>
        <w:left w:val="none" w:sz="0" w:space="0" w:color="auto"/>
        <w:bottom w:val="none" w:sz="0" w:space="0" w:color="auto"/>
        <w:right w:val="none" w:sz="0" w:space="0" w:color="auto"/>
      </w:divBdr>
    </w:div>
    <w:div w:id="1460563534">
      <w:bodyDiv w:val="1"/>
      <w:marLeft w:val="0"/>
      <w:marRight w:val="0"/>
      <w:marTop w:val="0"/>
      <w:marBottom w:val="0"/>
      <w:divBdr>
        <w:top w:val="none" w:sz="0" w:space="0" w:color="auto"/>
        <w:left w:val="none" w:sz="0" w:space="0" w:color="auto"/>
        <w:bottom w:val="none" w:sz="0" w:space="0" w:color="auto"/>
        <w:right w:val="none" w:sz="0" w:space="0" w:color="auto"/>
      </w:divBdr>
    </w:div>
    <w:div w:id="1559902485">
      <w:bodyDiv w:val="1"/>
      <w:marLeft w:val="0"/>
      <w:marRight w:val="0"/>
      <w:marTop w:val="0"/>
      <w:marBottom w:val="0"/>
      <w:divBdr>
        <w:top w:val="none" w:sz="0" w:space="0" w:color="auto"/>
        <w:left w:val="none" w:sz="0" w:space="0" w:color="auto"/>
        <w:bottom w:val="none" w:sz="0" w:space="0" w:color="auto"/>
        <w:right w:val="none" w:sz="0" w:space="0" w:color="auto"/>
      </w:divBdr>
    </w:div>
    <w:div w:id="1634484664">
      <w:bodyDiv w:val="1"/>
      <w:marLeft w:val="0"/>
      <w:marRight w:val="0"/>
      <w:marTop w:val="0"/>
      <w:marBottom w:val="0"/>
      <w:divBdr>
        <w:top w:val="none" w:sz="0" w:space="0" w:color="auto"/>
        <w:left w:val="none" w:sz="0" w:space="0" w:color="auto"/>
        <w:bottom w:val="none" w:sz="0" w:space="0" w:color="auto"/>
        <w:right w:val="none" w:sz="0" w:space="0" w:color="auto"/>
      </w:divBdr>
    </w:div>
    <w:div w:id="1670523353">
      <w:bodyDiv w:val="1"/>
      <w:marLeft w:val="0"/>
      <w:marRight w:val="0"/>
      <w:marTop w:val="0"/>
      <w:marBottom w:val="0"/>
      <w:divBdr>
        <w:top w:val="none" w:sz="0" w:space="0" w:color="auto"/>
        <w:left w:val="none" w:sz="0" w:space="0" w:color="auto"/>
        <w:bottom w:val="none" w:sz="0" w:space="0" w:color="auto"/>
        <w:right w:val="none" w:sz="0" w:space="0" w:color="auto"/>
      </w:divBdr>
    </w:div>
    <w:div w:id="1673145133">
      <w:bodyDiv w:val="1"/>
      <w:marLeft w:val="0"/>
      <w:marRight w:val="0"/>
      <w:marTop w:val="0"/>
      <w:marBottom w:val="0"/>
      <w:divBdr>
        <w:top w:val="none" w:sz="0" w:space="0" w:color="auto"/>
        <w:left w:val="none" w:sz="0" w:space="0" w:color="auto"/>
        <w:bottom w:val="none" w:sz="0" w:space="0" w:color="auto"/>
        <w:right w:val="none" w:sz="0" w:space="0" w:color="auto"/>
      </w:divBdr>
    </w:div>
    <w:div w:id="1760322405">
      <w:bodyDiv w:val="1"/>
      <w:marLeft w:val="0"/>
      <w:marRight w:val="0"/>
      <w:marTop w:val="0"/>
      <w:marBottom w:val="0"/>
      <w:divBdr>
        <w:top w:val="none" w:sz="0" w:space="0" w:color="auto"/>
        <w:left w:val="none" w:sz="0" w:space="0" w:color="auto"/>
        <w:bottom w:val="none" w:sz="0" w:space="0" w:color="auto"/>
        <w:right w:val="none" w:sz="0" w:space="0" w:color="auto"/>
      </w:divBdr>
    </w:div>
    <w:div w:id="1784495302">
      <w:bodyDiv w:val="1"/>
      <w:marLeft w:val="0"/>
      <w:marRight w:val="0"/>
      <w:marTop w:val="0"/>
      <w:marBottom w:val="0"/>
      <w:divBdr>
        <w:top w:val="none" w:sz="0" w:space="0" w:color="auto"/>
        <w:left w:val="none" w:sz="0" w:space="0" w:color="auto"/>
        <w:bottom w:val="none" w:sz="0" w:space="0" w:color="auto"/>
        <w:right w:val="none" w:sz="0" w:space="0" w:color="auto"/>
      </w:divBdr>
    </w:div>
    <w:div w:id="1790319531">
      <w:bodyDiv w:val="1"/>
      <w:marLeft w:val="0"/>
      <w:marRight w:val="0"/>
      <w:marTop w:val="0"/>
      <w:marBottom w:val="0"/>
      <w:divBdr>
        <w:top w:val="none" w:sz="0" w:space="0" w:color="auto"/>
        <w:left w:val="none" w:sz="0" w:space="0" w:color="auto"/>
        <w:bottom w:val="none" w:sz="0" w:space="0" w:color="auto"/>
        <w:right w:val="none" w:sz="0" w:space="0" w:color="auto"/>
      </w:divBdr>
    </w:div>
    <w:div w:id="1858470291">
      <w:bodyDiv w:val="1"/>
      <w:marLeft w:val="0"/>
      <w:marRight w:val="0"/>
      <w:marTop w:val="0"/>
      <w:marBottom w:val="0"/>
      <w:divBdr>
        <w:top w:val="none" w:sz="0" w:space="0" w:color="auto"/>
        <w:left w:val="none" w:sz="0" w:space="0" w:color="auto"/>
        <w:bottom w:val="none" w:sz="0" w:space="0" w:color="auto"/>
        <w:right w:val="none" w:sz="0" w:space="0" w:color="auto"/>
      </w:divBdr>
    </w:div>
    <w:div w:id="1893032040">
      <w:bodyDiv w:val="1"/>
      <w:marLeft w:val="0"/>
      <w:marRight w:val="0"/>
      <w:marTop w:val="0"/>
      <w:marBottom w:val="0"/>
      <w:divBdr>
        <w:top w:val="none" w:sz="0" w:space="0" w:color="auto"/>
        <w:left w:val="none" w:sz="0" w:space="0" w:color="auto"/>
        <w:bottom w:val="none" w:sz="0" w:space="0" w:color="auto"/>
        <w:right w:val="none" w:sz="0" w:space="0" w:color="auto"/>
      </w:divBdr>
    </w:div>
    <w:div w:id="1900483613">
      <w:bodyDiv w:val="1"/>
      <w:marLeft w:val="0"/>
      <w:marRight w:val="0"/>
      <w:marTop w:val="0"/>
      <w:marBottom w:val="0"/>
      <w:divBdr>
        <w:top w:val="none" w:sz="0" w:space="0" w:color="auto"/>
        <w:left w:val="none" w:sz="0" w:space="0" w:color="auto"/>
        <w:bottom w:val="none" w:sz="0" w:space="0" w:color="auto"/>
        <w:right w:val="none" w:sz="0" w:space="0" w:color="auto"/>
      </w:divBdr>
    </w:div>
    <w:div w:id="1933389328">
      <w:bodyDiv w:val="1"/>
      <w:marLeft w:val="0"/>
      <w:marRight w:val="0"/>
      <w:marTop w:val="0"/>
      <w:marBottom w:val="0"/>
      <w:divBdr>
        <w:top w:val="none" w:sz="0" w:space="0" w:color="auto"/>
        <w:left w:val="none" w:sz="0" w:space="0" w:color="auto"/>
        <w:bottom w:val="none" w:sz="0" w:space="0" w:color="auto"/>
        <w:right w:val="none" w:sz="0" w:space="0" w:color="auto"/>
      </w:divBdr>
    </w:div>
    <w:div w:id="1940597360">
      <w:bodyDiv w:val="1"/>
      <w:marLeft w:val="0"/>
      <w:marRight w:val="0"/>
      <w:marTop w:val="0"/>
      <w:marBottom w:val="0"/>
      <w:divBdr>
        <w:top w:val="none" w:sz="0" w:space="0" w:color="auto"/>
        <w:left w:val="none" w:sz="0" w:space="0" w:color="auto"/>
        <w:bottom w:val="none" w:sz="0" w:space="0" w:color="auto"/>
        <w:right w:val="none" w:sz="0" w:space="0" w:color="auto"/>
      </w:divBdr>
    </w:div>
    <w:div w:id="1943413824">
      <w:bodyDiv w:val="1"/>
      <w:marLeft w:val="0"/>
      <w:marRight w:val="0"/>
      <w:marTop w:val="0"/>
      <w:marBottom w:val="0"/>
      <w:divBdr>
        <w:top w:val="none" w:sz="0" w:space="0" w:color="auto"/>
        <w:left w:val="none" w:sz="0" w:space="0" w:color="auto"/>
        <w:bottom w:val="none" w:sz="0" w:space="0" w:color="auto"/>
        <w:right w:val="none" w:sz="0" w:space="0" w:color="auto"/>
      </w:divBdr>
    </w:div>
    <w:div w:id="1948534593">
      <w:bodyDiv w:val="1"/>
      <w:marLeft w:val="0"/>
      <w:marRight w:val="0"/>
      <w:marTop w:val="0"/>
      <w:marBottom w:val="0"/>
      <w:divBdr>
        <w:top w:val="none" w:sz="0" w:space="0" w:color="auto"/>
        <w:left w:val="none" w:sz="0" w:space="0" w:color="auto"/>
        <w:bottom w:val="none" w:sz="0" w:space="0" w:color="auto"/>
        <w:right w:val="none" w:sz="0" w:space="0" w:color="auto"/>
      </w:divBdr>
    </w:div>
    <w:div w:id="2023237522">
      <w:bodyDiv w:val="1"/>
      <w:marLeft w:val="0"/>
      <w:marRight w:val="0"/>
      <w:marTop w:val="0"/>
      <w:marBottom w:val="0"/>
      <w:divBdr>
        <w:top w:val="none" w:sz="0" w:space="0" w:color="auto"/>
        <w:left w:val="none" w:sz="0" w:space="0" w:color="auto"/>
        <w:bottom w:val="none" w:sz="0" w:space="0" w:color="auto"/>
        <w:right w:val="none" w:sz="0" w:space="0" w:color="auto"/>
      </w:divBdr>
    </w:div>
    <w:div w:id="2062054442">
      <w:bodyDiv w:val="1"/>
      <w:marLeft w:val="0"/>
      <w:marRight w:val="0"/>
      <w:marTop w:val="0"/>
      <w:marBottom w:val="0"/>
      <w:divBdr>
        <w:top w:val="none" w:sz="0" w:space="0" w:color="auto"/>
        <w:left w:val="none" w:sz="0" w:space="0" w:color="auto"/>
        <w:bottom w:val="none" w:sz="0" w:space="0" w:color="auto"/>
        <w:right w:val="none" w:sz="0" w:space="0" w:color="auto"/>
      </w:divBdr>
    </w:div>
    <w:div w:id="214388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ber.org/papers/w21633" TargetMode="External"/><Relationship Id="rId18" Type="http://schemas.openxmlformats.org/officeDocument/2006/relationships/hyperlink" Target="https://doi.org/10.1016/S0047-2727(01)00161-X" TargetMode="External"/><Relationship Id="rId26" Type="http://schemas.openxmlformats.org/officeDocument/2006/relationships/hyperlink" Target="https://doi.org/10.1111/acfi.12043" TargetMode="External"/><Relationship Id="rId39" Type="http://schemas.openxmlformats.org/officeDocument/2006/relationships/hyperlink" Target="https://doi.org/10.2308/accr.2008.83.1.61" TargetMode="External"/><Relationship Id="rId21" Type="http://schemas.openxmlformats.org/officeDocument/2006/relationships/hyperlink" Target="https://doi.org/10.1016/j.jacceco.2018.10.002" TargetMode="External"/><Relationship Id="rId34" Type="http://schemas.openxmlformats.org/officeDocument/2006/relationships/hyperlink" Target="https://doi.org/10.1016/j.chieco.2019.101303" TargetMode="External"/><Relationship Id="rId42" Type="http://schemas.openxmlformats.org/officeDocument/2006/relationships/hyperlink" Target="https://doi.org/10.1111/ijau.12055" TargetMode="External"/><Relationship Id="rId47" Type="http://schemas.openxmlformats.org/officeDocument/2006/relationships/hyperlink" Target="https://doi.org/10.1016/j.aos.2008.07.001" TargetMode="External"/><Relationship Id="rId50" Type="http://schemas.openxmlformats.org/officeDocument/2006/relationships/hyperlink" Target="https://doi.org/10.1016/j.jacceco.2011.11.006" TargetMode="External"/><Relationship Id="rId55" Type="http://schemas.openxmlformats.org/officeDocument/2006/relationships/hyperlink" Target="https://doi.org/10.1016/j.cjar.2018.07.001" TargetMode="External"/><Relationship Id="rId63" Type="http://schemas.openxmlformats.org/officeDocument/2006/relationships/hyperlink" Target="https://doi.org/10.1007/s10997-009-9097-6" TargetMode="External"/><Relationship Id="rId68" Type="http://schemas.openxmlformats.org/officeDocument/2006/relationships/hyperlink" Target="http://dx.doi.org/10.3926/ic.683" TargetMode="External"/><Relationship Id="rId76" Type="http://schemas.openxmlformats.org/officeDocument/2006/relationships/hyperlink" Target="https://doi.org/10.1016/j.jaccpubpol.2007.10.003" TargetMode="External"/><Relationship Id="rId84" Type="http://schemas.openxmlformats.org/officeDocument/2006/relationships/hyperlink" Target="https://doi.org/10.22495/cbv12i1c1art4" TargetMode="External"/><Relationship Id="rId89" Type="http://schemas.openxmlformats.org/officeDocument/2006/relationships/hyperlink" Target="https://doi.org/10.1006/bare.2001.0162" TargetMode="External"/><Relationship Id="rId7" Type="http://schemas.openxmlformats.org/officeDocument/2006/relationships/endnotes" Target="endnotes.xml"/><Relationship Id="rId71" Type="http://schemas.openxmlformats.org/officeDocument/2006/relationships/hyperlink" Target="https://doi.org/10.5007/2175-8069.2020v17n43p136"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016/j.jebo.2012.05.019" TargetMode="External"/><Relationship Id="rId29" Type="http://schemas.openxmlformats.org/officeDocument/2006/relationships/hyperlink" Target="https://doi.org/10.1108/NBRI-10-2013-0037" TargetMode="External"/><Relationship Id="rId11" Type="http://schemas.openxmlformats.org/officeDocument/2006/relationships/hyperlink" Target="https://doi.org/10.1016/j.jacceco.2013.08.005" TargetMode="External"/><Relationship Id="rId24" Type="http://schemas.openxmlformats.org/officeDocument/2006/relationships/hyperlink" Target="https://doi.org/10.1016/j.jfineco.2010.02.009" TargetMode="External"/><Relationship Id="rId32" Type="http://schemas.openxmlformats.org/officeDocument/2006/relationships/hyperlink" Target="https://doi.org/10.2308/ajpt-10146" TargetMode="External"/><Relationship Id="rId37" Type="http://schemas.openxmlformats.org/officeDocument/2006/relationships/hyperlink" Target="https://ssrn.com/abstract=3085770" TargetMode="External"/><Relationship Id="rId40" Type="http://schemas.openxmlformats.org/officeDocument/2006/relationships/hyperlink" Target="https://doi.org/10.2308/accr-51282" TargetMode="External"/><Relationship Id="rId45" Type="http://schemas.openxmlformats.org/officeDocument/2006/relationships/hyperlink" Target="https://doi.org/10.1108/cpoib-10-2016-0042" TargetMode="External"/><Relationship Id="rId53" Type="http://schemas.openxmlformats.org/officeDocument/2006/relationships/hyperlink" Target="https://doi.org/10.1111/1475-679X.12159" TargetMode="External"/><Relationship Id="rId58" Type="http://schemas.openxmlformats.org/officeDocument/2006/relationships/hyperlink" Target="http://en.intamedia.ir/pages/download.aspx" TargetMode="External"/><Relationship Id="rId66" Type="http://schemas.openxmlformats.org/officeDocument/2006/relationships/hyperlink" Target="http://dx.doi.org/10.2139/ssrn.2169805" TargetMode="External"/><Relationship Id="rId74" Type="http://schemas.openxmlformats.org/officeDocument/2006/relationships/hyperlink" Target="https://doi.org/10.21512/bbr.v8i3.3622" TargetMode="External"/><Relationship Id="rId79" Type="http://schemas.openxmlformats.org/officeDocument/2006/relationships/hyperlink" Target="https://doi.org/10.1108/JMLC-09-2014-0027" TargetMode="External"/><Relationship Id="rId87" Type="http://schemas.openxmlformats.org/officeDocument/2006/relationships/hyperlink" Target="https://doi.org/10.1037/0021-9010.87.4.629" TargetMode="External"/><Relationship Id="rId5" Type="http://schemas.openxmlformats.org/officeDocument/2006/relationships/webSettings" Target="webSettings.xml"/><Relationship Id="rId61" Type="http://schemas.openxmlformats.org/officeDocument/2006/relationships/hyperlink" Target="https://doi.org/10.2139/ssrn.1605404" TargetMode="External"/><Relationship Id="rId82" Type="http://schemas.openxmlformats.org/officeDocument/2006/relationships/hyperlink" Target="https://doi.org/10.1111/j.1540-6261.1997.tb04820.x" TargetMode="External"/><Relationship Id="rId90" Type="http://schemas.openxmlformats.org/officeDocument/2006/relationships/hyperlink" Target="https://doi.org/10.1111/j.1911-3838.2010.00014.x" TargetMode="External"/><Relationship Id="rId95" Type="http://schemas.microsoft.com/office/2018/08/relationships/commentsExtensible" Target="commentsExtensible.xml"/><Relationship Id="rId19" Type="http://schemas.openxmlformats.org/officeDocument/2006/relationships/hyperlink" Target="https://doi.org/10.1016/j.jfs.2011.12.003" TargetMode="External"/><Relationship Id="rId14" Type="http://schemas.openxmlformats.org/officeDocument/2006/relationships/hyperlink" Target="https://doi.org/10.2308/accr-52130" TargetMode="External"/><Relationship Id="rId22" Type="http://schemas.openxmlformats.org/officeDocument/2006/relationships/hyperlink" Target="https://doi.org/10.1007/BF03396749" TargetMode="External"/><Relationship Id="rId27" Type="http://schemas.openxmlformats.org/officeDocument/2006/relationships/hyperlink" Target="https://doi.org/10.2308/aud.2010.29.1.41" TargetMode="External"/><Relationship Id="rId30" Type="http://schemas.openxmlformats.org/officeDocument/2006/relationships/hyperlink" Target="https://doi.org/10.1080/21697213.2018.1494109" TargetMode="External"/><Relationship Id="rId35" Type="http://schemas.openxmlformats.org/officeDocument/2006/relationships/hyperlink" Target="https://doi.org/10.1016/j.bushor.2008.06.004" TargetMode="External"/><Relationship Id="rId43" Type="http://schemas.openxmlformats.org/officeDocument/2006/relationships/hyperlink" Target="https://doi.org/10.1080/00014788.1992.9729426" TargetMode="External"/><Relationship Id="rId48" Type="http://schemas.openxmlformats.org/officeDocument/2006/relationships/hyperlink" Target="https://doi.org/10.1162/00335530360535162" TargetMode="External"/><Relationship Id="rId56" Type="http://schemas.openxmlformats.org/officeDocument/2006/relationships/hyperlink" Target="https://doi.org/10.1111/j.0306-686X.2005.00645.x" TargetMode="External"/><Relationship Id="rId64" Type="http://schemas.openxmlformats.org/officeDocument/2006/relationships/hyperlink" Target="https://doi.org/10.1111/1475-679X.12081" TargetMode="External"/><Relationship Id="rId69" Type="http://schemas.openxmlformats.org/officeDocument/2006/relationships/hyperlink" Target="https://doi.org/10.1080/09540962.2018.1516955" TargetMode="External"/><Relationship Id="rId77" Type="http://schemas.openxmlformats.org/officeDocument/2006/relationships/hyperlink" Target="https://doi.org/10.1016/j.econmod.2014.09.015" TargetMode="External"/><Relationship Id="rId8" Type="http://schemas.openxmlformats.org/officeDocument/2006/relationships/hyperlink" Target="https://doi.org/10.1111/acfi.12175" TargetMode="External"/><Relationship Id="rId51" Type="http://schemas.openxmlformats.org/officeDocument/2006/relationships/hyperlink" Target="https://doi.org/10.1111/j.1467-629X.2009.00327.x" TargetMode="External"/><Relationship Id="rId72" Type="http://schemas.openxmlformats.org/officeDocument/2006/relationships/hyperlink" Target="https://doi.org/10.1002/sim.4780100805" TargetMode="External"/><Relationship Id="rId80" Type="http://schemas.openxmlformats.org/officeDocument/2006/relationships/hyperlink" Target="https://doi.org/10.2308/atax-51755" TargetMode="External"/><Relationship Id="rId85" Type="http://schemas.openxmlformats.org/officeDocument/2006/relationships/hyperlink" Target="https://doi.org/10.1016/j.accfor.2013.09.002"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2308/accr-52359" TargetMode="External"/><Relationship Id="rId17" Type="http://schemas.openxmlformats.org/officeDocument/2006/relationships/hyperlink" Target="https://doi.org/10.3982/ECTA6248" TargetMode="External"/><Relationship Id="rId25" Type="http://schemas.openxmlformats.org/officeDocument/2006/relationships/hyperlink" Target="https://doi.org/10.1080/02102412.2015.1111096" TargetMode="External"/><Relationship Id="rId33" Type="http://schemas.openxmlformats.org/officeDocument/2006/relationships/hyperlink" Target="https://doi.org/10.1016/j.adiac.2012.09.010" TargetMode="External"/><Relationship Id="rId38" Type="http://schemas.openxmlformats.org/officeDocument/2006/relationships/hyperlink" Target="https://doi.org/10.2308/accr-52198" TargetMode="External"/><Relationship Id="rId46" Type="http://schemas.openxmlformats.org/officeDocument/2006/relationships/hyperlink" Target="https://doi.org/10.1016/j.jaccpubpol.2006.03.005" TargetMode="External"/><Relationship Id="rId59" Type="http://schemas.openxmlformats.org/officeDocument/2006/relationships/hyperlink" Target="https://doi.org/10.1111/j.1475-679X.2005.00177.x" TargetMode="External"/><Relationship Id="rId67" Type="http://schemas.openxmlformats.org/officeDocument/2006/relationships/hyperlink" Target="https://doi.org/10.1016/j.jaccpubpol.2012.11.004" TargetMode="External"/><Relationship Id="rId20" Type="http://schemas.openxmlformats.org/officeDocument/2006/relationships/hyperlink" Target="https://doi.org/10.1016/j.jbankfin.2012.01.008" TargetMode="External"/><Relationship Id="rId41" Type="http://schemas.openxmlformats.org/officeDocument/2006/relationships/hyperlink" Target="https://doi.org/10.1016/j.intacc.2018.11.003" TargetMode="External"/><Relationship Id="rId54" Type="http://schemas.openxmlformats.org/officeDocument/2006/relationships/hyperlink" Target="https://doi.org/10.2307/2555459" TargetMode="External"/><Relationship Id="rId62" Type="http://schemas.openxmlformats.org/officeDocument/2006/relationships/hyperlink" Target="https://doi.org/10.2308/accr-50586" TargetMode="External"/><Relationship Id="rId70" Type="http://schemas.openxmlformats.org/officeDocument/2006/relationships/hyperlink" Target="https://doi.org/10.2139/ssrn.2384718" TargetMode="External"/><Relationship Id="rId75" Type="http://schemas.openxmlformats.org/officeDocument/2006/relationships/hyperlink" Target="https://doi.org/10.1016/j.jfineco.2013.08.007" TargetMode="External"/><Relationship Id="rId83" Type="http://schemas.openxmlformats.org/officeDocument/2006/relationships/hyperlink" Target="https://doi.org/10.2307/2490397" TargetMode="External"/><Relationship Id="rId88" Type="http://schemas.openxmlformats.org/officeDocument/2006/relationships/hyperlink" Target="https://doi.org/10.1111/j.1835-2561.2010.00118.x" TargetMode="External"/><Relationship Id="rId91" Type="http://schemas.openxmlformats.org/officeDocument/2006/relationships/footer" Target="footer1.xml"/><Relationship Id="rId9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1032373207072807" TargetMode="External"/><Relationship Id="rId23" Type="http://schemas.openxmlformats.org/officeDocument/2006/relationships/hyperlink" Target="https://doi.org/10.1016/S0165-4101(01)00027-1" TargetMode="External"/><Relationship Id="rId28" Type="http://schemas.openxmlformats.org/officeDocument/2006/relationships/hyperlink" Target="https://doi.org/10.1016/j.ememar.2012.12.003" TargetMode="External"/><Relationship Id="rId36" Type="http://schemas.openxmlformats.org/officeDocument/2006/relationships/hyperlink" Target="https://econpapers.repec.org/scripts/redir.pf?u=http%3A%2F%2Fwww.mitpressjournals.org%2Fdoi%2Fpdf%2F10.1162%2Frest.91.3.537;h=repec:tpr:restat:v:91:y:2009:i:3:p:537-546" TargetMode="External"/><Relationship Id="rId49" Type="http://schemas.openxmlformats.org/officeDocument/2006/relationships/hyperlink" Target="https://doi.org/10.1086/NTJ41789070" TargetMode="External"/><Relationship Id="rId57" Type="http://schemas.openxmlformats.org/officeDocument/2006/relationships/hyperlink" Target="https://doi.org/10.1108/MAJ-06-2014-1045" TargetMode="External"/><Relationship Id="rId10" Type="http://schemas.openxmlformats.org/officeDocument/2006/relationships/hyperlink" Target="https://doi.org/10.1506/car.26.1.1" TargetMode="External"/><Relationship Id="rId31" Type="http://schemas.openxmlformats.org/officeDocument/2006/relationships/hyperlink" Target="https://doi.org/10.1016/j.jbankfin.2018.04.007" TargetMode="External"/><Relationship Id="rId44" Type="http://schemas.openxmlformats.org/officeDocument/2006/relationships/hyperlink" Target="https://doi.org/10.1016/j.jacceco.2014.09.005" TargetMode="External"/><Relationship Id="rId52" Type="http://schemas.openxmlformats.org/officeDocument/2006/relationships/hyperlink" Target="https://doi.org/10.1016/j.jacceco.2010.09.002" TargetMode="External"/><Relationship Id="rId60" Type="http://schemas.openxmlformats.org/officeDocument/2006/relationships/hyperlink" Target="https://doi.org/10.1016/j.jfineco.2010.07.007" TargetMode="External"/><Relationship Id="rId65" Type="http://schemas.openxmlformats.org/officeDocument/2006/relationships/hyperlink" Target="https://doi.org/10.1111/j.15406261.1989.tb04390.x" TargetMode="External"/><Relationship Id="rId73" Type="http://schemas.openxmlformats.org/officeDocument/2006/relationships/hyperlink" Target="https://doi.org/10.1057/s41310-018-0044-0" TargetMode="External"/><Relationship Id="rId78" Type="http://schemas.openxmlformats.org/officeDocument/2006/relationships/hyperlink" Target="https://doi.org/10.1017/S0003055400265222" TargetMode="External"/><Relationship Id="rId81" Type="http://schemas.openxmlformats.org/officeDocument/2006/relationships/hyperlink" Target="https://doi.org/10.4102/sajbm.v48i4.45" TargetMode="External"/><Relationship Id="rId86" Type="http://schemas.openxmlformats.org/officeDocument/2006/relationships/hyperlink" Target="https://doi.org/10.1108/MAJ-12-2013-0973"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mazon.com/Corporate-Tax-Planning-6th-Vol/dp/81269091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050B55-C078-40FE-8098-68AB106209EF}">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3A289-8188-47F9-B29A-86F8AC49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22</Pages>
  <Words>9781</Words>
  <Characters>55758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HP-Notebook</dc:creator>
  <cp:lastModifiedBy>Accer </cp:lastModifiedBy>
  <cp:revision>256</cp:revision>
  <cp:lastPrinted>2020-10-12T14:46:00Z</cp:lastPrinted>
  <dcterms:created xsi:type="dcterms:W3CDTF">2021-05-22T05:18:00Z</dcterms:created>
  <dcterms:modified xsi:type="dcterms:W3CDTF">2021-05-25T05:55:00Z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Public Company Accounting Oversight Board (2010). Auditing Standard No 8, Audit Risk. PCAOB Release no. 2010-004.</vt:lpwstr>
  </property>
</Properties>
</file>